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87C" w:rsidRDefault="0088187C">
      <w:pPr>
        <w:rPr>
          <w:rFonts w:ascii="宋体" w:hAnsi="宋体" w:cs="宋体"/>
          <w:b/>
          <w:sz w:val="44"/>
          <w:szCs w:val="44"/>
        </w:rPr>
      </w:pPr>
    </w:p>
    <w:p w:rsidR="0088187C" w:rsidRDefault="0088187C">
      <w:pPr>
        <w:rPr>
          <w:rFonts w:ascii="宋体" w:hAnsi="宋体" w:cs="宋体"/>
          <w:b/>
          <w:sz w:val="44"/>
          <w:szCs w:val="44"/>
        </w:rPr>
      </w:pPr>
    </w:p>
    <w:p w:rsidR="0088187C" w:rsidRDefault="007E6BCA">
      <w:pPr>
        <w:ind w:firstLineChars="100" w:firstLine="964"/>
        <w:rPr>
          <w:rFonts w:ascii="宋体" w:hAnsi="宋体" w:cs="宋体"/>
          <w:b/>
          <w:sz w:val="96"/>
          <w:szCs w:val="96"/>
        </w:rPr>
      </w:pPr>
      <w:r>
        <w:rPr>
          <w:rFonts w:ascii="宋体" w:hAnsi="宋体" w:cs="宋体" w:hint="eastAsia"/>
          <w:b/>
          <w:sz w:val="96"/>
          <w:szCs w:val="96"/>
        </w:rPr>
        <w:t>交流双枪充电桩</w:t>
      </w:r>
    </w:p>
    <w:p w:rsidR="0088187C" w:rsidRDefault="007E6BCA">
      <w:pPr>
        <w:jc w:val="center"/>
        <w:rPr>
          <w:rFonts w:ascii="宋体" w:hAnsi="宋体" w:cs="宋体"/>
          <w:b/>
          <w:sz w:val="52"/>
          <w:szCs w:val="52"/>
        </w:rPr>
      </w:pPr>
      <w:r>
        <w:rPr>
          <w:rFonts w:ascii="宋体" w:hAnsi="宋体" w:cs="宋体" w:hint="eastAsia"/>
          <w:b/>
          <w:sz w:val="52"/>
          <w:szCs w:val="52"/>
        </w:rPr>
        <w:t>使用说明书（规格书）</w:t>
      </w:r>
    </w:p>
    <w:p w:rsidR="0088187C" w:rsidRDefault="0088187C">
      <w:pPr>
        <w:jc w:val="center"/>
        <w:rPr>
          <w:rFonts w:ascii="宋体" w:hAnsi="宋体" w:cs="宋体"/>
          <w:b/>
          <w:spacing w:val="-8"/>
          <w:sz w:val="36"/>
          <w:szCs w:val="36"/>
        </w:rPr>
      </w:pPr>
    </w:p>
    <w:p w:rsidR="0088187C" w:rsidRDefault="00EC2E93">
      <w:pPr>
        <w:jc w:val="center"/>
        <w:rPr>
          <w:rFonts w:ascii="宋体" w:hAnsi="宋体" w:cs="宋体"/>
          <w:b/>
          <w:spacing w:val="-8"/>
          <w:sz w:val="33"/>
          <w:szCs w:val="33"/>
        </w:rPr>
      </w:pPr>
      <w:r>
        <w:rPr>
          <w:rFonts w:ascii="宋体" w:hAnsi="宋体" w:cs="宋体"/>
          <w:b/>
          <w:noProof/>
          <w:spacing w:val="-8"/>
          <w:sz w:val="33"/>
          <w:szCs w:val="33"/>
        </w:rPr>
        <w:drawing>
          <wp:inline distT="0" distB="0" distL="0" distR="0">
            <wp:extent cx="1734312" cy="4340352"/>
            <wp:effectExtent l="19050" t="0" r="0" b="0"/>
            <wp:docPr id="3" name="图片 2" descr="微信图片_2023101909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1019091652.jpg"/>
                    <pic:cNvPicPr/>
                  </pic:nvPicPr>
                  <pic:blipFill>
                    <a:blip r:embed="rId8" cstate="print"/>
                    <a:stretch>
                      <a:fillRect/>
                    </a:stretch>
                  </pic:blipFill>
                  <pic:spPr>
                    <a:xfrm>
                      <a:off x="0" y="0"/>
                      <a:ext cx="1734312" cy="4340352"/>
                    </a:xfrm>
                    <a:prstGeom prst="rect">
                      <a:avLst/>
                    </a:prstGeom>
                  </pic:spPr>
                </pic:pic>
              </a:graphicData>
            </a:graphic>
          </wp:inline>
        </w:drawing>
      </w:r>
    </w:p>
    <w:p w:rsidR="0088187C" w:rsidRDefault="0088187C">
      <w:pPr>
        <w:rPr>
          <w:rFonts w:ascii="宋体" w:hAnsi="宋体" w:cs="宋体"/>
          <w:b/>
          <w:spacing w:val="-8"/>
          <w:sz w:val="33"/>
          <w:szCs w:val="33"/>
        </w:rPr>
      </w:pPr>
    </w:p>
    <w:p w:rsidR="0088187C" w:rsidRDefault="0088187C">
      <w:pPr>
        <w:rPr>
          <w:rFonts w:ascii="宋体" w:hAnsi="宋体" w:cs="宋体"/>
          <w:b/>
          <w:spacing w:val="-8"/>
          <w:sz w:val="33"/>
          <w:szCs w:val="33"/>
        </w:rPr>
      </w:pPr>
    </w:p>
    <w:tbl>
      <w:tblPr>
        <w:tblStyle w:val="ad"/>
        <w:tblW w:w="0" w:type="auto"/>
        <w:tblLook w:val="04A0"/>
      </w:tblPr>
      <w:tblGrid>
        <w:gridCol w:w="4264"/>
        <w:gridCol w:w="4264"/>
      </w:tblGrid>
      <w:tr w:rsidR="0088187C">
        <w:tc>
          <w:tcPr>
            <w:tcW w:w="4264" w:type="dxa"/>
          </w:tcPr>
          <w:p w:rsidR="0088187C" w:rsidRDefault="007E6BCA">
            <w:pPr>
              <w:jc w:val="center"/>
              <w:rPr>
                <w:rFonts w:ascii="宋体" w:hAnsi="宋体" w:cs="宋体"/>
                <w:b/>
                <w:spacing w:val="-8"/>
                <w:sz w:val="36"/>
                <w:szCs w:val="36"/>
              </w:rPr>
            </w:pPr>
            <w:r>
              <w:rPr>
                <w:rFonts w:ascii="宋体" w:hAnsi="宋体" w:cs="宋体" w:hint="eastAsia"/>
                <w:b/>
                <w:spacing w:val="-8"/>
                <w:sz w:val="36"/>
                <w:szCs w:val="36"/>
              </w:rPr>
              <w:t>编制版本</w:t>
            </w:r>
          </w:p>
        </w:tc>
        <w:tc>
          <w:tcPr>
            <w:tcW w:w="4264" w:type="dxa"/>
          </w:tcPr>
          <w:p w:rsidR="0088187C" w:rsidRDefault="007E6BCA">
            <w:pPr>
              <w:jc w:val="center"/>
              <w:rPr>
                <w:rFonts w:ascii="宋体" w:hAnsi="宋体" w:cs="宋体"/>
                <w:b/>
                <w:spacing w:val="-8"/>
                <w:sz w:val="36"/>
                <w:szCs w:val="36"/>
              </w:rPr>
            </w:pPr>
            <w:r>
              <w:rPr>
                <w:rFonts w:ascii="宋体" w:hAnsi="宋体" w:cs="宋体" w:hint="eastAsia"/>
                <w:b/>
                <w:spacing w:val="-8"/>
                <w:sz w:val="36"/>
                <w:szCs w:val="36"/>
              </w:rPr>
              <w:t>V1.0</w:t>
            </w:r>
          </w:p>
        </w:tc>
      </w:tr>
      <w:tr w:rsidR="0088187C">
        <w:tc>
          <w:tcPr>
            <w:tcW w:w="4264" w:type="dxa"/>
          </w:tcPr>
          <w:p w:rsidR="0088187C" w:rsidRDefault="007E6BCA">
            <w:pPr>
              <w:jc w:val="center"/>
              <w:rPr>
                <w:rFonts w:ascii="宋体" w:hAnsi="宋体" w:cs="宋体"/>
                <w:b/>
                <w:spacing w:val="-8"/>
                <w:sz w:val="36"/>
                <w:szCs w:val="36"/>
              </w:rPr>
            </w:pPr>
            <w:r>
              <w:rPr>
                <w:rFonts w:ascii="宋体" w:hAnsi="宋体" w:cs="宋体" w:hint="eastAsia"/>
                <w:b/>
                <w:spacing w:val="-8"/>
                <w:sz w:val="36"/>
                <w:szCs w:val="36"/>
              </w:rPr>
              <w:t>编制日期</w:t>
            </w:r>
          </w:p>
        </w:tc>
        <w:tc>
          <w:tcPr>
            <w:tcW w:w="4264" w:type="dxa"/>
          </w:tcPr>
          <w:p w:rsidR="0088187C" w:rsidRDefault="007E6BCA">
            <w:pPr>
              <w:jc w:val="center"/>
              <w:rPr>
                <w:rFonts w:ascii="宋体" w:hAnsi="宋体" w:cs="宋体"/>
                <w:b/>
                <w:spacing w:val="-8"/>
                <w:sz w:val="36"/>
                <w:szCs w:val="36"/>
              </w:rPr>
            </w:pPr>
            <w:r>
              <w:rPr>
                <w:rFonts w:ascii="宋体" w:hAnsi="宋体" w:cs="宋体" w:hint="eastAsia"/>
                <w:b/>
                <w:spacing w:val="-8"/>
                <w:sz w:val="36"/>
                <w:szCs w:val="36"/>
              </w:rPr>
              <w:t>2021</w:t>
            </w:r>
            <w:r>
              <w:rPr>
                <w:rFonts w:ascii="宋体" w:hAnsi="宋体" w:cs="宋体" w:hint="eastAsia"/>
                <w:b/>
                <w:spacing w:val="-8"/>
                <w:sz w:val="36"/>
                <w:szCs w:val="36"/>
              </w:rPr>
              <w:t>年</w:t>
            </w:r>
            <w:r>
              <w:rPr>
                <w:rFonts w:ascii="宋体" w:hAnsi="宋体" w:cs="宋体" w:hint="eastAsia"/>
                <w:b/>
                <w:spacing w:val="-8"/>
                <w:sz w:val="36"/>
                <w:szCs w:val="36"/>
              </w:rPr>
              <w:t>9</w:t>
            </w:r>
            <w:r>
              <w:rPr>
                <w:rFonts w:ascii="宋体" w:hAnsi="宋体" w:cs="宋体" w:hint="eastAsia"/>
                <w:b/>
                <w:spacing w:val="-8"/>
                <w:sz w:val="36"/>
                <w:szCs w:val="36"/>
              </w:rPr>
              <w:t>月</w:t>
            </w:r>
          </w:p>
        </w:tc>
      </w:tr>
    </w:tbl>
    <w:p w:rsidR="0088187C" w:rsidRDefault="0088187C">
      <w:pPr>
        <w:rPr>
          <w:rFonts w:ascii="宋体" w:hAnsi="宋体" w:cs="宋体"/>
          <w:sz w:val="24"/>
        </w:rPr>
      </w:pPr>
    </w:p>
    <w:p w:rsidR="0088187C" w:rsidRDefault="007E6BCA" w:rsidP="00EC2E93">
      <w:pPr>
        <w:rPr>
          <w:rFonts w:ascii="宋体" w:hAnsi="宋体" w:cs="宋体"/>
          <w:b/>
          <w:color w:val="000000"/>
          <w:sz w:val="22"/>
          <w:szCs w:val="22"/>
        </w:rPr>
      </w:pPr>
      <w:r>
        <w:rPr>
          <w:rFonts w:ascii="宋体" w:hAnsi="宋体" w:cs="宋体" w:hint="eastAsia"/>
          <w:sz w:val="24"/>
        </w:rPr>
        <w:lastRenderedPageBreak/>
        <w:t xml:space="preserve">                   </w:t>
      </w:r>
      <w:r>
        <w:rPr>
          <w:rFonts w:ascii="宋体" w:hAnsi="宋体" w:cs="宋体" w:hint="eastAsia"/>
          <w:b/>
          <w:color w:val="000000"/>
          <w:sz w:val="22"/>
          <w:szCs w:val="22"/>
        </w:rPr>
        <w:t>目</w:t>
      </w:r>
      <w:r>
        <w:rPr>
          <w:rFonts w:ascii="宋体" w:hAnsi="宋体" w:cs="宋体" w:hint="eastAsia"/>
          <w:b/>
          <w:color w:val="000000"/>
          <w:sz w:val="22"/>
          <w:szCs w:val="22"/>
        </w:rPr>
        <w:t xml:space="preserve">    </w:t>
      </w:r>
      <w:r>
        <w:rPr>
          <w:rFonts w:ascii="宋体" w:hAnsi="宋体" w:cs="宋体" w:hint="eastAsia"/>
          <w:b/>
          <w:color w:val="000000"/>
          <w:sz w:val="22"/>
          <w:szCs w:val="22"/>
        </w:rPr>
        <w:t>录</w:t>
      </w:r>
    </w:p>
    <w:p w:rsidR="0088187C" w:rsidRDefault="0088187C">
      <w:pPr>
        <w:pStyle w:val="20"/>
        <w:rPr>
          <w:rFonts w:asciiTheme="minorEastAsia" w:eastAsiaTheme="minorEastAsia" w:hAnsiTheme="minorEastAsia" w:cstheme="minorBidi"/>
          <w:sz w:val="20"/>
          <w:szCs w:val="20"/>
        </w:rPr>
      </w:pPr>
      <w:r>
        <w:rPr>
          <w:rFonts w:asciiTheme="minorEastAsia" w:eastAsiaTheme="minorEastAsia" w:hAnsiTheme="minorEastAsia" w:cs="宋体" w:hint="eastAsia"/>
          <w:sz w:val="20"/>
          <w:szCs w:val="20"/>
        </w:rPr>
        <w:fldChar w:fldCharType="begin"/>
      </w:r>
      <w:r w:rsidR="007E6BCA">
        <w:rPr>
          <w:rFonts w:asciiTheme="minorEastAsia" w:eastAsiaTheme="minorEastAsia" w:hAnsiTheme="minorEastAsia" w:cs="宋体" w:hint="eastAsia"/>
          <w:sz w:val="20"/>
          <w:szCs w:val="20"/>
        </w:rPr>
        <w:instrText xml:space="preserve"> TOC \o "1-3" \h \z \u </w:instrText>
      </w:r>
      <w:r>
        <w:rPr>
          <w:rFonts w:asciiTheme="minorEastAsia" w:eastAsiaTheme="minorEastAsia" w:hAnsiTheme="minorEastAsia" w:cs="宋体" w:hint="eastAsia"/>
          <w:sz w:val="20"/>
          <w:szCs w:val="20"/>
        </w:rPr>
        <w:fldChar w:fldCharType="separate"/>
      </w:r>
      <w:hyperlink w:anchor="_Toc86413353" w:history="1">
        <w:r w:rsidR="007E6BCA">
          <w:rPr>
            <w:rStyle w:val="af"/>
            <w:rFonts w:asciiTheme="minorEastAsia" w:eastAsiaTheme="minorEastAsia" w:hAnsiTheme="minorEastAsia" w:cs="宋体"/>
            <w:sz w:val="20"/>
            <w:szCs w:val="20"/>
          </w:rPr>
          <w:t>1.</w:t>
        </w:r>
        <w:r w:rsidR="007E6BCA">
          <w:rPr>
            <w:rStyle w:val="af"/>
            <w:rFonts w:asciiTheme="minorEastAsia" w:eastAsiaTheme="minorEastAsia" w:hAnsiTheme="minorEastAsia" w:cs="宋体" w:hint="eastAsia"/>
            <w:sz w:val="20"/>
            <w:szCs w:val="20"/>
          </w:rPr>
          <w:t>充电桩概述</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_Toc86413353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3</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54" w:history="1">
        <w:r w:rsidR="007E6BCA">
          <w:rPr>
            <w:rStyle w:val="af"/>
            <w:rFonts w:asciiTheme="minorEastAsia" w:eastAsiaTheme="minorEastAsia" w:hAnsiTheme="minorEastAsia" w:cs="宋体"/>
            <w:sz w:val="20"/>
            <w:szCs w:val="20"/>
          </w:rPr>
          <w:t>2.</w:t>
        </w:r>
        <w:r w:rsidR="007E6BCA">
          <w:rPr>
            <w:rStyle w:val="af"/>
            <w:rFonts w:asciiTheme="minorEastAsia" w:eastAsiaTheme="minorEastAsia" w:hAnsiTheme="minorEastAsia" w:cs="宋体" w:hint="eastAsia"/>
            <w:sz w:val="20"/>
            <w:szCs w:val="20"/>
          </w:rPr>
          <w:t>遵循标准</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_Toc86413354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3</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55" w:history="1">
        <w:r w:rsidR="007E6BCA">
          <w:rPr>
            <w:rStyle w:val="af"/>
            <w:rFonts w:asciiTheme="minorEastAsia" w:eastAsiaTheme="minorEastAsia" w:hAnsiTheme="minorEastAsia" w:cs="宋体"/>
            <w:sz w:val="20"/>
            <w:szCs w:val="20"/>
          </w:rPr>
          <w:t>3.</w:t>
        </w:r>
        <w:r w:rsidR="007E6BCA">
          <w:rPr>
            <w:rStyle w:val="af"/>
            <w:rFonts w:asciiTheme="minorEastAsia" w:eastAsiaTheme="minorEastAsia" w:hAnsiTheme="minorEastAsia" w:cs="宋体" w:hint="eastAsia"/>
            <w:sz w:val="20"/>
            <w:szCs w:val="20"/>
          </w:rPr>
          <w:t>应用范围</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_Toc86413355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3</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56" w:history="1">
        <w:r w:rsidR="007E6BCA">
          <w:rPr>
            <w:rStyle w:val="af"/>
            <w:rFonts w:asciiTheme="minorEastAsia" w:eastAsiaTheme="minorEastAsia" w:hAnsiTheme="minorEastAsia" w:cs="宋体"/>
            <w:sz w:val="20"/>
            <w:szCs w:val="20"/>
          </w:rPr>
          <w:t>4.</w:t>
        </w:r>
        <w:r w:rsidR="007E6BCA">
          <w:rPr>
            <w:rStyle w:val="af"/>
            <w:rFonts w:asciiTheme="minorEastAsia" w:eastAsiaTheme="minorEastAsia" w:hAnsiTheme="minorEastAsia" w:cs="宋体" w:hint="eastAsia"/>
            <w:sz w:val="20"/>
            <w:szCs w:val="20"/>
          </w:rPr>
          <w:t>产品外观简介图</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_Toc86413356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3</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57" w:history="1">
        <w:r w:rsidR="007E6BCA">
          <w:rPr>
            <w:rStyle w:val="af"/>
            <w:rFonts w:asciiTheme="minorEastAsia" w:eastAsiaTheme="minorEastAsia" w:hAnsiTheme="minorEastAsia" w:cs="宋体"/>
            <w:sz w:val="20"/>
            <w:szCs w:val="20"/>
          </w:rPr>
          <w:t>5.</w:t>
        </w:r>
        <w:r w:rsidR="007E6BCA">
          <w:rPr>
            <w:rStyle w:val="af"/>
            <w:rFonts w:asciiTheme="minorEastAsia" w:eastAsiaTheme="minorEastAsia" w:hAnsiTheme="minorEastAsia" w:cs="宋体" w:hint="eastAsia"/>
            <w:sz w:val="20"/>
            <w:szCs w:val="20"/>
          </w:rPr>
          <w:t>技术参数</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_Toc86413357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3</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58" w:history="1">
        <w:r w:rsidR="007E6BCA">
          <w:rPr>
            <w:rStyle w:val="af"/>
            <w:rFonts w:asciiTheme="minorEastAsia" w:eastAsiaTheme="minorEastAsia" w:hAnsiTheme="minorEastAsia" w:cs="宋体"/>
            <w:sz w:val="20"/>
            <w:szCs w:val="20"/>
          </w:rPr>
          <w:t>6.</w:t>
        </w:r>
        <w:r w:rsidR="007E6BCA">
          <w:rPr>
            <w:rStyle w:val="af"/>
            <w:rFonts w:asciiTheme="minorEastAsia" w:eastAsiaTheme="minorEastAsia" w:hAnsiTheme="minorEastAsia" w:cs="宋体" w:hint="eastAsia"/>
            <w:sz w:val="20"/>
            <w:szCs w:val="20"/>
          </w:rPr>
          <w:t>充电桩主要器件明细</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_Toc86413358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4</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59" w:history="1">
        <w:r w:rsidR="007E6BCA">
          <w:rPr>
            <w:rStyle w:val="af"/>
            <w:rFonts w:asciiTheme="minorEastAsia" w:eastAsiaTheme="minorEastAsia" w:hAnsiTheme="minorEastAsia" w:cs="宋体"/>
            <w:sz w:val="20"/>
            <w:szCs w:val="20"/>
          </w:rPr>
          <w:t>7.</w:t>
        </w:r>
        <w:r w:rsidR="007E6BCA">
          <w:rPr>
            <w:rStyle w:val="af"/>
            <w:rFonts w:asciiTheme="minorEastAsia" w:eastAsiaTheme="minorEastAsia" w:hAnsiTheme="minorEastAsia" w:cs="宋体" w:hint="eastAsia"/>
            <w:sz w:val="20"/>
            <w:szCs w:val="20"/>
          </w:rPr>
          <w:t>通信接口</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_Toc86413359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4</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60" w:history="1">
        <w:r w:rsidR="007E6BCA">
          <w:rPr>
            <w:rStyle w:val="af"/>
            <w:rFonts w:asciiTheme="minorEastAsia" w:eastAsiaTheme="minorEastAsia" w:hAnsiTheme="minorEastAsia" w:cs="宋体"/>
            <w:sz w:val="20"/>
            <w:szCs w:val="20"/>
          </w:rPr>
          <w:t>8.</w:t>
        </w:r>
        <w:r w:rsidR="007E6BCA">
          <w:rPr>
            <w:rStyle w:val="af"/>
            <w:rFonts w:asciiTheme="minorEastAsia" w:eastAsiaTheme="minorEastAsia" w:hAnsiTheme="minorEastAsia" w:cs="宋体" w:hint="eastAsia"/>
            <w:sz w:val="20"/>
            <w:szCs w:val="20"/>
          </w:rPr>
          <w:t>产品功能</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_Toc86413360</w:instrText>
        </w:r>
        <w:r w:rsidR="007E6BCA">
          <w:rPr>
            <w:rFonts w:asciiTheme="minorEastAsia" w:eastAsiaTheme="minorEastAsia" w:hAnsiTheme="minorEastAsia"/>
            <w:sz w:val="20"/>
            <w:szCs w:val="20"/>
          </w:rPr>
          <w:instrText xml:space="preserve">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4</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61" w:history="1">
        <w:r w:rsidR="007E6BCA">
          <w:rPr>
            <w:rStyle w:val="af"/>
            <w:rFonts w:asciiTheme="minorEastAsia" w:eastAsiaTheme="minorEastAsia" w:hAnsiTheme="minorEastAsia" w:cs="宋体"/>
            <w:sz w:val="20"/>
            <w:szCs w:val="20"/>
          </w:rPr>
          <w:t>9.</w:t>
        </w:r>
        <w:r w:rsidR="007E6BCA">
          <w:rPr>
            <w:rStyle w:val="af"/>
            <w:rFonts w:asciiTheme="minorEastAsia" w:eastAsiaTheme="minorEastAsia" w:hAnsiTheme="minorEastAsia" w:cs="宋体" w:hint="eastAsia"/>
            <w:sz w:val="20"/>
            <w:szCs w:val="20"/>
          </w:rPr>
          <w:t>产品特点</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_Toc86413361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4</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62" w:history="1">
        <w:r w:rsidR="007E6BCA">
          <w:rPr>
            <w:rStyle w:val="af"/>
            <w:rFonts w:asciiTheme="minorEastAsia" w:eastAsiaTheme="minorEastAsia" w:hAnsiTheme="minorEastAsia" w:cs="宋体"/>
            <w:sz w:val="20"/>
            <w:szCs w:val="20"/>
          </w:rPr>
          <w:t>10.</w:t>
        </w:r>
        <w:r w:rsidR="007E6BCA">
          <w:rPr>
            <w:rStyle w:val="af"/>
            <w:rFonts w:asciiTheme="minorEastAsia" w:eastAsiaTheme="minorEastAsia" w:hAnsiTheme="minorEastAsia" w:cs="宋体" w:hint="eastAsia"/>
            <w:sz w:val="20"/>
            <w:szCs w:val="20"/>
          </w:rPr>
          <w:t>系统组成及工作逻辑</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_Toc86413362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5</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63" w:history="1">
        <w:r w:rsidR="007E6BCA">
          <w:rPr>
            <w:rStyle w:val="af"/>
            <w:rFonts w:asciiTheme="minorEastAsia" w:eastAsiaTheme="minorEastAsia" w:hAnsiTheme="minorEastAsia" w:cs="宋体"/>
            <w:sz w:val="20"/>
            <w:szCs w:val="20"/>
          </w:rPr>
          <w:t>10.1.</w:t>
        </w:r>
        <w:r w:rsidR="007E6BCA">
          <w:rPr>
            <w:rStyle w:val="af"/>
            <w:rFonts w:asciiTheme="minorEastAsia" w:eastAsiaTheme="minorEastAsia" w:hAnsiTheme="minorEastAsia" w:cs="宋体" w:hint="eastAsia"/>
            <w:sz w:val="20"/>
            <w:szCs w:val="20"/>
          </w:rPr>
          <w:t>系统组成</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_Toc86413363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5</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64" w:history="1">
        <w:r w:rsidR="007E6BCA">
          <w:rPr>
            <w:rStyle w:val="af"/>
            <w:rFonts w:asciiTheme="minorEastAsia" w:eastAsiaTheme="minorEastAsia" w:hAnsiTheme="minorEastAsia" w:cs="宋体"/>
            <w:sz w:val="20"/>
            <w:szCs w:val="20"/>
          </w:rPr>
          <w:t>10.2.</w:t>
        </w:r>
        <w:r w:rsidR="007E6BCA">
          <w:rPr>
            <w:rStyle w:val="af"/>
            <w:rFonts w:asciiTheme="minorEastAsia" w:eastAsiaTheme="minorEastAsia" w:hAnsiTheme="minorEastAsia" w:cs="宋体" w:hint="eastAsia"/>
            <w:sz w:val="20"/>
            <w:szCs w:val="20"/>
          </w:rPr>
          <w:t>工作逻辑</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_Toc86413364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5</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65" w:history="1">
        <w:r w:rsidR="007E6BCA">
          <w:rPr>
            <w:rStyle w:val="af"/>
            <w:rFonts w:asciiTheme="minorEastAsia" w:eastAsiaTheme="minorEastAsia" w:hAnsiTheme="minorEastAsia" w:cs="宋体"/>
            <w:sz w:val="20"/>
            <w:szCs w:val="20"/>
          </w:rPr>
          <w:t>11.</w:t>
        </w:r>
        <w:r w:rsidR="007E6BCA">
          <w:rPr>
            <w:rStyle w:val="af"/>
            <w:rFonts w:asciiTheme="minorEastAsia" w:eastAsiaTheme="minorEastAsia" w:hAnsiTheme="minorEastAsia" w:cs="宋体" w:hint="eastAsia"/>
            <w:sz w:val="20"/>
            <w:szCs w:val="20"/>
          </w:rPr>
          <w:t>各款充电桩使用说明</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w:instrText>
        </w:r>
        <w:r w:rsidR="007E6BCA">
          <w:rPr>
            <w:rFonts w:asciiTheme="minorEastAsia" w:eastAsiaTheme="minorEastAsia" w:hAnsiTheme="minorEastAsia"/>
            <w:sz w:val="20"/>
            <w:szCs w:val="20"/>
          </w:rPr>
          <w:instrText xml:space="preserve">oc86413365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5</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66" w:history="1">
        <w:r w:rsidR="007E6BCA">
          <w:rPr>
            <w:rStyle w:val="af"/>
            <w:rFonts w:asciiTheme="minorEastAsia" w:eastAsiaTheme="minorEastAsia" w:hAnsiTheme="minorEastAsia" w:cs="宋体"/>
            <w:sz w:val="20"/>
            <w:szCs w:val="20"/>
          </w:rPr>
          <w:t>11.1</w:t>
        </w:r>
        <w:r w:rsidR="007E6BCA">
          <w:rPr>
            <w:rStyle w:val="af"/>
            <w:rFonts w:asciiTheme="minorEastAsia" w:eastAsiaTheme="minorEastAsia" w:hAnsiTheme="minorEastAsia" w:cs="宋体" w:hint="eastAsia"/>
            <w:sz w:val="20"/>
            <w:szCs w:val="20"/>
          </w:rPr>
          <w:t>插枪充</w:t>
        </w:r>
        <w:r w:rsidR="007E6BCA">
          <w:rPr>
            <w:rStyle w:val="af"/>
            <w:rFonts w:asciiTheme="minorEastAsia" w:eastAsiaTheme="minorEastAsia" w:hAnsiTheme="minorEastAsia" w:cs="宋体"/>
            <w:sz w:val="20"/>
            <w:szCs w:val="20"/>
          </w:rPr>
          <w:t>/</w:t>
        </w:r>
        <w:r w:rsidR="007E6BCA">
          <w:rPr>
            <w:rStyle w:val="af"/>
            <w:rFonts w:asciiTheme="minorEastAsia" w:eastAsiaTheme="minorEastAsia" w:hAnsiTheme="minorEastAsia" w:cs="宋体" w:hint="eastAsia"/>
            <w:sz w:val="20"/>
            <w:szCs w:val="20"/>
          </w:rPr>
          <w:t>即插即充（选配款）</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_Toc86413366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5</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67" w:history="1">
        <w:r w:rsidR="007E6BCA">
          <w:rPr>
            <w:rStyle w:val="af"/>
            <w:rFonts w:asciiTheme="minorEastAsia" w:eastAsiaTheme="minorEastAsia" w:hAnsiTheme="minorEastAsia" w:cs="宋体"/>
            <w:sz w:val="20"/>
            <w:szCs w:val="20"/>
          </w:rPr>
          <w:t>11.2</w:t>
        </w:r>
        <w:r w:rsidR="007E6BCA">
          <w:rPr>
            <w:rStyle w:val="af"/>
            <w:rFonts w:asciiTheme="minorEastAsia" w:eastAsiaTheme="minorEastAsia" w:hAnsiTheme="minorEastAsia" w:cs="宋体" w:hint="eastAsia"/>
            <w:sz w:val="20"/>
            <w:szCs w:val="20"/>
          </w:rPr>
          <w:t>单机刷卡充电（选配款）</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_Toc86413367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5</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68" w:history="1">
        <w:r w:rsidR="007E6BCA">
          <w:rPr>
            <w:rStyle w:val="af"/>
            <w:rFonts w:asciiTheme="minorEastAsia" w:eastAsiaTheme="minorEastAsia" w:hAnsiTheme="minorEastAsia" w:cs="宋体"/>
            <w:sz w:val="20"/>
            <w:szCs w:val="20"/>
          </w:rPr>
          <w:t>11.3</w:t>
        </w:r>
        <w:r w:rsidR="007E6BCA">
          <w:rPr>
            <w:rStyle w:val="af"/>
            <w:rFonts w:asciiTheme="minorEastAsia" w:eastAsiaTheme="minorEastAsia" w:hAnsiTheme="minorEastAsia" w:cs="宋体" w:hint="eastAsia"/>
            <w:sz w:val="20"/>
            <w:szCs w:val="20"/>
          </w:rPr>
          <w:t>联网扫码充电（选配款）</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w:instrText>
        </w:r>
        <w:r w:rsidR="007E6BCA">
          <w:rPr>
            <w:rFonts w:asciiTheme="minorEastAsia" w:eastAsiaTheme="minorEastAsia" w:hAnsiTheme="minorEastAsia"/>
            <w:sz w:val="20"/>
            <w:szCs w:val="20"/>
          </w:rPr>
          <w:instrText xml:space="preserve">AGEREF _Toc86413368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6</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69" w:history="1">
        <w:r w:rsidR="007E6BCA">
          <w:rPr>
            <w:rStyle w:val="af"/>
            <w:rFonts w:asciiTheme="minorEastAsia" w:eastAsiaTheme="minorEastAsia" w:hAnsiTheme="minorEastAsia" w:cs="宋体"/>
            <w:sz w:val="20"/>
            <w:szCs w:val="20"/>
          </w:rPr>
          <w:t>11.4</w:t>
        </w:r>
        <w:r w:rsidR="007E6BCA">
          <w:rPr>
            <w:rStyle w:val="af"/>
            <w:rFonts w:asciiTheme="minorEastAsia" w:eastAsiaTheme="minorEastAsia" w:hAnsiTheme="minorEastAsia" w:cs="宋体" w:hint="eastAsia"/>
            <w:sz w:val="20"/>
            <w:szCs w:val="20"/>
          </w:rPr>
          <w:t>充电桩指示灯定义</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_Toc86413369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6</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70" w:history="1">
        <w:r w:rsidR="007E6BCA">
          <w:rPr>
            <w:rStyle w:val="af"/>
            <w:rFonts w:asciiTheme="minorEastAsia" w:eastAsiaTheme="minorEastAsia" w:hAnsiTheme="minorEastAsia" w:cs="宋体"/>
            <w:sz w:val="20"/>
            <w:szCs w:val="20"/>
          </w:rPr>
          <w:t>11.5</w:t>
        </w:r>
        <w:r w:rsidR="007E6BCA">
          <w:rPr>
            <w:rStyle w:val="af"/>
            <w:rFonts w:asciiTheme="minorEastAsia" w:eastAsiaTheme="minorEastAsia" w:hAnsiTheme="minorEastAsia" w:cs="宋体" w:hint="eastAsia"/>
            <w:sz w:val="20"/>
            <w:szCs w:val="20"/>
          </w:rPr>
          <w:t>使用注意事项</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_Toc86413370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7</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71" w:history="1">
        <w:r w:rsidR="007E6BCA">
          <w:rPr>
            <w:rStyle w:val="af"/>
            <w:rFonts w:asciiTheme="minorEastAsia" w:eastAsiaTheme="minorEastAsia" w:hAnsiTheme="minorEastAsia" w:cs="宋体"/>
            <w:sz w:val="20"/>
            <w:szCs w:val="20"/>
          </w:rPr>
          <w:t>12.</w:t>
        </w:r>
        <w:r w:rsidR="007E6BCA">
          <w:rPr>
            <w:rStyle w:val="af"/>
            <w:rFonts w:asciiTheme="minorEastAsia" w:eastAsiaTheme="minorEastAsia" w:hAnsiTheme="minorEastAsia" w:cs="宋体" w:hint="eastAsia"/>
            <w:sz w:val="20"/>
            <w:szCs w:val="20"/>
          </w:rPr>
          <w:t>设备的安装与储运</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_Toc86413371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7</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72" w:history="1">
        <w:r w:rsidR="007E6BCA">
          <w:rPr>
            <w:rStyle w:val="af"/>
            <w:rFonts w:asciiTheme="minorEastAsia" w:eastAsiaTheme="minorEastAsia" w:hAnsiTheme="minorEastAsia" w:cs="宋体"/>
            <w:sz w:val="20"/>
            <w:szCs w:val="20"/>
          </w:rPr>
          <w:t xml:space="preserve">12.1 </w:t>
        </w:r>
        <w:r w:rsidR="007E6BCA">
          <w:rPr>
            <w:rStyle w:val="af"/>
            <w:rFonts w:asciiTheme="minorEastAsia" w:eastAsiaTheme="minorEastAsia" w:hAnsiTheme="minorEastAsia" w:cs="宋体" w:hint="eastAsia"/>
            <w:sz w:val="20"/>
            <w:szCs w:val="20"/>
          </w:rPr>
          <w:t>桩体外形、壁挂板、立柱底座尺寸图</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_Toc86413372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7</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73" w:history="1">
        <w:r w:rsidR="007E6BCA">
          <w:rPr>
            <w:rStyle w:val="af"/>
            <w:rFonts w:asciiTheme="minorEastAsia" w:eastAsiaTheme="minorEastAsia" w:hAnsiTheme="minorEastAsia" w:cs="宋体"/>
            <w:sz w:val="20"/>
            <w:szCs w:val="20"/>
          </w:rPr>
          <w:t xml:space="preserve">12.2 </w:t>
        </w:r>
        <w:r w:rsidR="007E6BCA">
          <w:rPr>
            <w:rStyle w:val="af"/>
            <w:rFonts w:asciiTheme="minorEastAsia" w:eastAsiaTheme="minorEastAsia" w:hAnsiTheme="minorEastAsia" w:cs="宋体" w:hint="eastAsia"/>
            <w:sz w:val="20"/>
            <w:szCs w:val="20"/>
          </w:rPr>
          <w:t>设备接线示意图</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_Toc86413373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7</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74" w:history="1">
        <w:r w:rsidR="007E6BCA">
          <w:rPr>
            <w:rStyle w:val="af"/>
            <w:rFonts w:asciiTheme="minorEastAsia" w:eastAsiaTheme="minorEastAsia" w:hAnsiTheme="minorEastAsia" w:cs="宋体"/>
            <w:sz w:val="20"/>
            <w:szCs w:val="20"/>
          </w:rPr>
          <w:t>12.3</w:t>
        </w:r>
        <w:r w:rsidR="007E6BCA">
          <w:rPr>
            <w:rStyle w:val="af"/>
            <w:rFonts w:asciiTheme="minorEastAsia" w:eastAsiaTheme="minorEastAsia" w:hAnsiTheme="minorEastAsia" w:cs="宋体" w:hint="eastAsia"/>
            <w:sz w:val="20"/>
            <w:szCs w:val="20"/>
          </w:rPr>
          <w:t>设备电缆选型</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_Toc86413374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7</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75" w:history="1">
        <w:r w:rsidR="007E6BCA">
          <w:rPr>
            <w:rStyle w:val="af"/>
            <w:rFonts w:asciiTheme="minorEastAsia" w:eastAsiaTheme="minorEastAsia" w:hAnsiTheme="minorEastAsia" w:cs="宋体"/>
            <w:sz w:val="20"/>
            <w:szCs w:val="20"/>
          </w:rPr>
          <w:t xml:space="preserve">12.4 </w:t>
        </w:r>
        <w:r w:rsidR="007E6BCA">
          <w:rPr>
            <w:rStyle w:val="af"/>
            <w:rFonts w:asciiTheme="minorEastAsia" w:eastAsiaTheme="minorEastAsia" w:hAnsiTheme="minorEastAsia" w:cs="宋体" w:hint="eastAsia"/>
            <w:sz w:val="20"/>
            <w:szCs w:val="20"/>
          </w:rPr>
          <w:t>设备的储运</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_Toc86413375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8</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76" w:history="1">
        <w:r w:rsidR="007E6BCA">
          <w:rPr>
            <w:rStyle w:val="af"/>
            <w:rFonts w:asciiTheme="minorEastAsia" w:eastAsiaTheme="minorEastAsia" w:hAnsiTheme="minorEastAsia" w:cs="宋体"/>
            <w:sz w:val="20"/>
            <w:szCs w:val="20"/>
          </w:rPr>
          <w:t>13.</w:t>
        </w:r>
        <w:r w:rsidR="007E6BCA">
          <w:rPr>
            <w:rStyle w:val="af"/>
            <w:rFonts w:asciiTheme="minorEastAsia" w:eastAsiaTheme="minorEastAsia" w:hAnsiTheme="minorEastAsia" w:cs="宋体" w:hint="eastAsia"/>
            <w:sz w:val="20"/>
            <w:szCs w:val="20"/>
          </w:rPr>
          <w:t>充电桩的维护保养与故障处理</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w:instrText>
        </w:r>
        <w:r w:rsidR="007E6BCA">
          <w:rPr>
            <w:rFonts w:asciiTheme="minorEastAsia" w:eastAsiaTheme="minorEastAsia" w:hAnsiTheme="minorEastAsia"/>
            <w:sz w:val="20"/>
            <w:szCs w:val="20"/>
          </w:rPr>
          <w:instrText xml:space="preserve">F _Toc86413376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8</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77" w:history="1">
        <w:r w:rsidR="007E6BCA">
          <w:rPr>
            <w:rStyle w:val="af"/>
            <w:rFonts w:asciiTheme="minorEastAsia" w:eastAsiaTheme="minorEastAsia" w:hAnsiTheme="minorEastAsia" w:cs="宋体"/>
            <w:sz w:val="20"/>
            <w:szCs w:val="20"/>
          </w:rPr>
          <w:t xml:space="preserve">13.1 </w:t>
        </w:r>
        <w:r w:rsidR="007E6BCA">
          <w:rPr>
            <w:rStyle w:val="af"/>
            <w:rFonts w:asciiTheme="minorEastAsia" w:eastAsiaTheme="minorEastAsia" w:hAnsiTheme="minorEastAsia" w:cs="宋体" w:hint="eastAsia"/>
            <w:sz w:val="20"/>
            <w:szCs w:val="20"/>
          </w:rPr>
          <w:t>维护维护保养</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_Toc86413377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8</w:t>
        </w:r>
        <w:r>
          <w:rPr>
            <w:rFonts w:asciiTheme="minorEastAsia" w:eastAsiaTheme="minorEastAsia" w:hAnsiTheme="minorEastAsia"/>
            <w:sz w:val="20"/>
            <w:szCs w:val="20"/>
          </w:rPr>
          <w:fldChar w:fldCharType="end"/>
        </w:r>
      </w:hyperlink>
    </w:p>
    <w:p w:rsidR="0088187C" w:rsidRDefault="0088187C">
      <w:pPr>
        <w:pStyle w:val="30"/>
        <w:tabs>
          <w:tab w:val="right" w:leader="dot" w:pos="8302"/>
        </w:tabs>
        <w:spacing w:line="360" w:lineRule="auto"/>
        <w:rPr>
          <w:rFonts w:asciiTheme="minorEastAsia" w:eastAsiaTheme="minorEastAsia" w:hAnsiTheme="minorEastAsia" w:cstheme="minorBidi"/>
          <w:sz w:val="20"/>
          <w:szCs w:val="20"/>
        </w:rPr>
      </w:pPr>
      <w:hyperlink w:anchor="_Toc86413378" w:history="1">
        <w:r w:rsidR="007E6BCA">
          <w:rPr>
            <w:rStyle w:val="af"/>
            <w:rFonts w:asciiTheme="minorEastAsia" w:eastAsiaTheme="minorEastAsia" w:hAnsiTheme="minorEastAsia" w:cs="宋体"/>
            <w:sz w:val="20"/>
            <w:szCs w:val="20"/>
          </w:rPr>
          <w:t xml:space="preserve">13.2 </w:t>
        </w:r>
        <w:r w:rsidR="007E6BCA">
          <w:rPr>
            <w:rStyle w:val="af"/>
            <w:rFonts w:asciiTheme="minorEastAsia" w:eastAsiaTheme="minorEastAsia" w:hAnsiTheme="minorEastAsia" w:cs="宋体" w:hint="eastAsia"/>
            <w:sz w:val="20"/>
            <w:szCs w:val="20"/>
          </w:rPr>
          <w:t>故障处理</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_Toc86413378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8</w:t>
        </w:r>
        <w:r>
          <w:rPr>
            <w:rFonts w:asciiTheme="minorEastAsia" w:eastAsiaTheme="minorEastAsia" w:hAnsiTheme="minorEastAsia"/>
            <w:sz w:val="20"/>
            <w:szCs w:val="20"/>
          </w:rPr>
          <w:fldChar w:fldCharType="end"/>
        </w:r>
      </w:hyperlink>
    </w:p>
    <w:p w:rsidR="0088187C" w:rsidRDefault="0088187C">
      <w:pPr>
        <w:pStyle w:val="20"/>
        <w:rPr>
          <w:rFonts w:asciiTheme="minorEastAsia" w:eastAsiaTheme="minorEastAsia" w:hAnsiTheme="minorEastAsia" w:cstheme="minorBidi"/>
          <w:sz w:val="20"/>
          <w:szCs w:val="20"/>
        </w:rPr>
      </w:pPr>
      <w:hyperlink w:anchor="_Toc86413379" w:history="1">
        <w:r w:rsidR="007E6BCA">
          <w:rPr>
            <w:rStyle w:val="af"/>
            <w:rFonts w:asciiTheme="minorEastAsia" w:eastAsiaTheme="minorEastAsia" w:hAnsiTheme="minorEastAsia" w:cs="宋体"/>
            <w:sz w:val="20"/>
            <w:szCs w:val="20"/>
          </w:rPr>
          <w:t>14.</w:t>
        </w:r>
        <w:r w:rsidR="007E6BCA">
          <w:rPr>
            <w:rStyle w:val="af"/>
            <w:rFonts w:asciiTheme="minorEastAsia" w:eastAsiaTheme="minorEastAsia" w:hAnsiTheme="minorEastAsia" w:cs="宋体" w:hint="eastAsia"/>
            <w:sz w:val="20"/>
            <w:szCs w:val="20"/>
          </w:rPr>
          <w:t>充电桩保修服务</w:t>
        </w:r>
        <w:r w:rsidR="007E6BCA">
          <w:rPr>
            <w:rFonts w:asciiTheme="minorEastAsia" w:eastAsiaTheme="minorEastAsia" w:hAnsiTheme="minorEastAsia"/>
            <w:sz w:val="20"/>
            <w:szCs w:val="20"/>
          </w:rPr>
          <w:tab/>
        </w:r>
        <w:r>
          <w:rPr>
            <w:rFonts w:asciiTheme="minorEastAsia" w:eastAsiaTheme="minorEastAsia" w:hAnsiTheme="minorEastAsia"/>
            <w:sz w:val="20"/>
            <w:szCs w:val="20"/>
          </w:rPr>
          <w:fldChar w:fldCharType="begin"/>
        </w:r>
        <w:r w:rsidR="007E6BCA">
          <w:rPr>
            <w:rFonts w:asciiTheme="minorEastAsia" w:eastAsiaTheme="minorEastAsia" w:hAnsiTheme="minorEastAsia"/>
            <w:sz w:val="20"/>
            <w:szCs w:val="20"/>
          </w:rPr>
          <w:instrText xml:space="preserve"> PAGEREF _Toc86413379 \h </w:instrText>
        </w:r>
        <w:r>
          <w:rPr>
            <w:rFonts w:asciiTheme="minorEastAsia" w:eastAsiaTheme="minorEastAsia" w:hAnsiTheme="minorEastAsia"/>
            <w:sz w:val="20"/>
            <w:szCs w:val="20"/>
          </w:rPr>
        </w:r>
        <w:r>
          <w:rPr>
            <w:rFonts w:asciiTheme="minorEastAsia" w:eastAsiaTheme="minorEastAsia" w:hAnsiTheme="minorEastAsia"/>
            <w:sz w:val="20"/>
            <w:szCs w:val="20"/>
          </w:rPr>
          <w:fldChar w:fldCharType="separate"/>
        </w:r>
        <w:r w:rsidR="007E6BCA">
          <w:rPr>
            <w:rFonts w:asciiTheme="minorEastAsia" w:eastAsiaTheme="minorEastAsia" w:hAnsiTheme="minorEastAsia"/>
            <w:sz w:val="20"/>
            <w:szCs w:val="20"/>
          </w:rPr>
          <w:t>8</w:t>
        </w:r>
        <w:r>
          <w:rPr>
            <w:rFonts w:asciiTheme="minorEastAsia" w:eastAsiaTheme="minorEastAsia" w:hAnsiTheme="minorEastAsia"/>
            <w:sz w:val="20"/>
            <w:szCs w:val="20"/>
          </w:rPr>
          <w:fldChar w:fldCharType="end"/>
        </w:r>
      </w:hyperlink>
    </w:p>
    <w:p w:rsidR="0088187C" w:rsidRDefault="0088187C">
      <w:pPr>
        <w:pStyle w:val="20"/>
        <w:tabs>
          <w:tab w:val="clear" w:pos="910"/>
          <w:tab w:val="left" w:pos="628"/>
        </w:tabs>
        <w:ind w:leftChars="0" w:left="0"/>
        <w:rPr>
          <w:rFonts w:ascii="宋体" w:eastAsia="宋体" w:cs="宋体"/>
          <w:sz w:val="28"/>
          <w:szCs w:val="28"/>
        </w:rPr>
        <w:sectPr w:rsidR="0088187C">
          <w:headerReference w:type="default" r:id="rId9"/>
          <w:pgSz w:w="11906" w:h="16838"/>
          <w:pgMar w:top="1440" w:right="1797" w:bottom="1440" w:left="1797" w:header="851" w:footer="992" w:gutter="0"/>
          <w:cols w:space="720"/>
          <w:titlePg/>
          <w:docGrid w:type="linesAndChars" w:linePitch="312"/>
        </w:sectPr>
      </w:pPr>
      <w:r>
        <w:rPr>
          <w:rFonts w:asciiTheme="minorEastAsia" w:eastAsiaTheme="minorEastAsia" w:hAnsiTheme="minorEastAsia" w:cs="宋体" w:hint="eastAsia"/>
          <w:sz w:val="20"/>
          <w:szCs w:val="20"/>
        </w:rPr>
        <w:fldChar w:fldCharType="end"/>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0" w:name="_Toc86413353"/>
      <w:r>
        <w:rPr>
          <w:rFonts w:asciiTheme="minorEastAsia" w:eastAsiaTheme="minorEastAsia" w:hAnsiTheme="minorEastAsia" w:cstheme="minorEastAsia" w:hint="eastAsia"/>
          <w:sz w:val="18"/>
          <w:szCs w:val="18"/>
        </w:rPr>
        <w:lastRenderedPageBreak/>
        <w:t>1.</w:t>
      </w:r>
      <w:r>
        <w:rPr>
          <w:rFonts w:asciiTheme="minorEastAsia" w:eastAsiaTheme="minorEastAsia" w:hAnsiTheme="minorEastAsia" w:cstheme="minorEastAsia" w:hint="eastAsia"/>
          <w:sz w:val="18"/>
          <w:szCs w:val="18"/>
        </w:rPr>
        <w:t>充电桩概述</w:t>
      </w:r>
      <w:bookmarkEnd w:id="0"/>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交流双枪充电桩是一种为新源汽车提供充电功能的设备，一台设备可以带两条充电枪，可用于空间小，双车位的场地，有效的降低成本，便于维护与管理。本设备具有友好的人机操作界面，操作简单，刷卡、扫码即用；</w:t>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1" w:name="_Toc86413354"/>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遵循标准</w:t>
      </w:r>
      <w:bookmarkEnd w:id="1"/>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GB/T 18487.1-2015</w:t>
      </w:r>
      <w:r>
        <w:rPr>
          <w:rFonts w:asciiTheme="minorEastAsia" w:eastAsiaTheme="minorEastAsia" w:hAnsiTheme="minorEastAsia" w:cstheme="minorEastAsia" w:hint="eastAsia"/>
          <w:sz w:val="18"/>
          <w:szCs w:val="18"/>
        </w:rPr>
        <w:t>《电动车辆传导充电系统</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一般要求》</w:t>
      </w:r>
      <w:r>
        <w:rPr>
          <w:rFonts w:asciiTheme="minorEastAsia" w:eastAsiaTheme="minorEastAsia" w:hAnsiTheme="minorEastAsia" w:cstheme="minorEastAsia" w:hint="eastAsia"/>
          <w:sz w:val="18"/>
          <w:szCs w:val="18"/>
        </w:rPr>
        <w:br/>
        <w:t>GB/T 18487.2-2015</w:t>
      </w:r>
      <w:r>
        <w:rPr>
          <w:rFonts w:asciiTheme="minorEastAsia" w:eastAsiaTheme="minorEastAsia" w:hAnsiTheme="minorEastAsia" w:cstheme="minorEastAsia" w:hint="eastAsia"/>
          <w:sz w:val="18"/>
          <w:szCs w:val="18"/>
        </w:rPr>
        <w:t>《电动车辆传导充电系统</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电动车辆与交流</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直流电源的连接要求》</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GB/T 18487.3-2015</w:t>
      </w:r>
      <w:r>
        <w:rPr>
          <w:rFonts w:asciiTheme="minorEastAsia" w:eastAsiaTheme="minorEastAsia" w:hAnsiTheme="minorEastAsia" w:cstheme="minorEastAsia" w:hint="eastAsia"/>
          <w:sz w:val="18"/>
          <w:szCs w:val="18"/>
        </w:rPr>
        <w:t>《电动车辆传导充电系统</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电动车辆与交流</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直流充电机（站）》</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GB/T 19596-2004</w:t>
      </w:r>
      <w:r>
        <w:rPr>
          <w:rFonts w:asciiTheme="minorEastAsia" w:eastAsiaTheme="minorEastAsia" w:hAnsiTheme="minorEastAsia" w:cstheme="minorEastAsia" w:hint="eastAsia"/>
          <w:sz w:val="18"/>
          <w:szCs w:val="18"/>
        </w:rPr>
        <w:t>《电动汽车术语》</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GB/T 20234-2015</w:t>
      </w:r>
      <w:r>
        <w:rPr>
          <w:rFonts w:asciiTheme="minorEastAsia" w:eastAsiaTheme="minorEastAsia" w:hAnsiTheme="minorEastAsia" w:cstheme="minorEastAsia" w:hint="eastAsia"/>
          <w:sz w:val="18"/>
          <w:szCs w:val="18"/>
        </w:rPr>
        <w:t>《电动汽车传导充电用插头、插座、车辆耦合器和车辆插孔通用要求》</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QC/T 743-2006</w:t>
      </w:r>
      <w:r>
        <w:rPr>
          <w:rFonts w:asciiTheme="minorEastAsia" w:eastAsiaTheme="minorEastAsia" w:hAnsiTheme="minorEastAsia" w:cstheme="minorEastAsia" w:hint="eastAsia"/>
          <w:sz w:val="18"/>
          <w:szCs w:val="18"/>
        </w:rPr>
        <w:t>《电动汽车用锂离子蓄电池》</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YD/T 1436-2006</w:t>
      </w:r>
      <w:r>
        <w:rPr>
          <w:rFonts w:asciiTheme="minorEastAsia" w:eastAsiaTheme="minorEastAsia" w:hAnsiTheme="minorEastAsia" w:cstheme="minorEastAsia" w:hint="eastAsia"/>
          <w:sz w:val="18"/>
          <w:szCs w:val="18"/>
        </w:rPr>
        <w:t>《室外型通信电源系统》</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GB/T 17215.211-2006</w:t>
      </w:r>
      <w:r>
        <w:rPr>
          <w:rFonts w:asciiTheme="minorEastAsia" w:eastAsiaTheme="minorEastAsia" w:hAnsiTheme="minorEastAsia" w:cstheme="minorEastAsia" w:hint="eastAsia"/>
          <w:sz w:val="18"/>
          <w:szCs w:val="18"/>
        </w:rPr>
        <w:t>《交流电测量设备通用要求、试验和试验条件》</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GB/T 17215.322-2008</w:t>
      </w:r>
      <w:r>
        <w:rPr>
          <w:rFonts w:asciiTheme="minorEastAsia" w:eastAsiaTheme="minorEastAsia" w:hAnsiTheme="minorEastAsia" w:cstheme="minorEastAsia" w:hint="eastAsia"/>
          <w:sz w:val="18"/>
          <w:szCs w:val="18"/>
        </w:rPr>
        <w:t>《静止式有功电能表</w:t>
      </w:r>
      <w:r>
        <w:rPr>
          <w:rFonts w:asciiTheme="minorEastAsia" w:eastAsiaTheme="minorEastAsia" w:hAnsiTheme="minorEastAsia" w:cstheme="minorEastAsia" w:hint="eastAsia"/>
          <w:sz w:val="18"/>
          <w:szCs w:val="18"/>
        </w:rPr>
        <w:t xml:space="preserve"> 0.2S </w:t>
      </w:r>
      <w:r>
        <w:rPr>
          <w:rFonts w:asciiTheme="minorEastAsia" w:eastAsiaTheme="minorEastAsia" w:hAnsiTheme="minorEastAsia" w:cstheme="minorEastAsia" w:hint="eastAsia"/>
          <w:sz w:val="18"/>
          <w:szCs w:val="18"/>
        </w:rPr>
        <w:t>级和</w:t>
      </w:r>
      <w:r>
        <w:rPr>
          <w:rFonts w:asciiTheme="minorEastAsia" w:eastAsiaTheme="minorEastAsia" w:hAnsiTheme="minorEastAsia" w:cstheme="minorEastAsia" w:hint="eastAsia"/>
          <w:sz w:val="18"/>
          <w:szCs w:val="18"/>
        </w:rPr>
        <w:t xml:space="preserve"> 0.5S </w:t>
      </w:r>
      <w:r>
        <w:rPr>
          <w:rFonts w:asciiTheme="minorEastAsia" w:eastAsiaTheme="minorEastAsia" w:hAnsiTheme="minorEastAsia" w:cstheme="minorEastAsia" w:hint="eastAsia"/>
          <w:sz w:val="18"/>
          <w:szCs w:val="18"/>
        </w:rPr>
        <w:t>级》</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DL/T448-2000</w:t>
      </w:r>
      <w:r>
        <w:rPr>
          <w:rFonts w:asciiTheme="minorEastAsia" w:eastAsiaTheme="minorEastAsia" w:hAnsiTheme="minorEastAsia" w:cstheme="minorEastAsia" w:hint="eastAsia"/>
          <w:sz w:val="18"/>
          <w:szCs w:val="18"/>
        </w:rPr>
        <w:t>《电能计量装置技术管理规程》</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D</w:t>
      </w:r>
      <w:r>
        <w:rPr>
          <w:rFonts w:asciiTheme="minorEastAsia" w:eastAsiaTheme="minorEastAsia" w:hAnsiTheme="minorEastAsia" w:cstheme="minorEastAsia" w:hint="eastAsia"/>
          <w:sz w:val="18"/>
          <w:szCs w:val="18"/>
        </w:rPr>
        <w:t>L/T 620-1997</w:t>
      </w:r>
      <w:r>
        <w:rPr>
          <w:rFonts w:asciiTheme="minorEastAsia" w:eastAsiaTheme="minorEastAsia" w:hAnsiTheme="minorEastAsia" w:cstheme="minorEastAsia" w:hint="eastAsia"/>
          <w:sz w:val="18"/>
          <w:szCs w:val="18"/>
        </w:rPr>
        <w:t>《交流电气装置的过电压保护和绝缘配合》</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DL/T 621-1997</w:t>
      </w:r>
      <w:r>
        <w:rPr>
          <w:rFonts w:asciiTheme="minorEastAsia" w:eastAsiaTheme="minorEastAsia" w:hAnsiTheme="minorEastAsia" w:cstheme="minorEastAsia" w:hint="eastAsia"/>
          <w:sz w:val="18"/>
          <w:szCs w:val="18"/>
        </w:rPr>
        <w:t>《交流电气装置的接地》</w:t>
      </w:r>
    </w:p>
    <w:p w:rsidR="0088187C" w:rsidRDefault="007E6BCA">
      <w:pPr>
        <w:pStyle w:val="af2"/>
        <w:numPr>
          <w:ilvl w:val="0"/>
          <w:numId w:val="1"/>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JB/T 5777.4-2000</w:t>
      </w:r>
      <w:r>
        <w:rPr>
          <w:rFonts w:asciiTheme="minorEastAsia" w:eastAsiaTheme="minorEastAsia" w:hAnsiTheme="minorEastAsia" w:cstheme="minorEastAsia" w:hint="eastAsia"/>
          <w:sz w:val="18"/>
          <w:szCs w:val="18"/>
        </w:rPr>
        <w:t>《电力系统直流电源设备通用技术条件及安全要求》</w:t>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2" w:name="_Toc86413355"/>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应用范围</w:t>
      </w:r>
      <w:bookmarkEnd w:id="2"/>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交流充电桩适用于为具有车载充电机的电动汽车提供交流电能。</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交流充电桩可很方便地安装于各种公共、单位内部及小区内部停车场内，同时也可安装在各种大、中、小型电动汽车充电站中。它采用自助方式操作，适用于无人管理的各种停车场，用户可自主完成充电操作。</w:t>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3" w:name="_Toc86413356"/>
      <w:r>
        <w:rPr>
          <w:rFonts w:asciiTheme="minorEastAsia" w:eastAsiaTheme="minorEastAsia" w:hAnsiTheme="minorEastAsia" w:cstheme="minorEastAsia" w:hint="eastAsia"/>
          <w:sz w:val="18"/>
          <w:szCs w:val="18"/>
        </w:rPr>
        <w:t>4.</w:t>
      </w:r>
      <w:r>
        <w:rPr>
          <w:rFonts w:asciiTheme="minorEastAsia" w:eastAsiaTheme="minorEastAsia" w:hAnsiTheme="minorEastAsia" w:cstheme="minorEastAsia" w:hint="eastAsia"/>
          <w:sz w:val="18"/>
          <w:szCs w:val="18"/>
        </w:rPr>
        <w:t>产品外观简介图</w:t>
      </w:r>
      <w:bookmarkEnd w:id="3"/>
    </w:p>
    <w:p w:rsidR="0088187C" w:rsidRDefault="007E6BCA">
      <w:pPr>
        <w:jc w:val="center"/>
        <w:rPr>
          <w:rFonts w:asciiTheme="minorEastAsia" w:eastAsiaTheme="minorEastAsia" w:hAnsiTheme="minorEastAsia" w:cstheme="minorEastAsia"/>
          <w:sz w:val="18"/>
          <w:szCs w:val="18"/>
        </w:rPr>
      </w:pPr>
      <w:r>
        <w:rPr>
          <w:noProof/>
        </w:rPr>
        <w:drawing>
          <wp:inline distT="0" distB="0" distL="114300" distR="114300">
            <wp:extent cx="1254760" cy="16186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254760" cy="1618615"/>
                    </a:xfrm>
                    <a:prstGeom prst="rect">
                      <a:avLst/>
                    </a:prstGeom>
                    <a:noFill/>
                    <a:ln>
                      <a:noFill/>
                    </a:ln>
                  </pic:spPr>
                </pic:pic>
              </a:graphicData>
            </a:graphic>
          </wp:inline>
        </w:drawing>
      </w:r>
      <w:bookmarkStart w:id="4" w:name="_GoBack"/>
      <w:bookmarkEnd w:id="4"/>
    </w:p>
    <w:p w:rsidR="0088187C" w:rsidRDefault="007E6BCA">
      <w:pPr>
        <w:pStyle w:val="2"/>
        <w:spacing w:before="0" w:after="0" w:line="240" w:lineRule="auto"/>
        <w:rPr>
          <w:rFonts w:asciiTheme="minorEastAsia" w:eastAsiaTheme="minorEastAsia" w:hAnsiTheme="minorEastAsia" w:cstheme="minorEastAsia"/>
          <w:sz w:val="18"/>
          <w:szCs w:val="18"/>
        </w:rPr>
      </w:pPr>
      <w:bookmarkStart w:id="5" w:name="_Toc86413357"/>
      <w:r>
        <w:rPr>
          <w:rFonts w:asciiTheme="minorEastAsia" w:eastAsiaTheme="minorEastAsia" w:hAnsiTheme="minorEastAsia" w:cstheme="minorEastAsia" w:hint="eastAsia"/>
          <w:sz w:val="18"/>
          <w:szCs w:val="18"/>
        </w:rPr>
        <w:t>5.</w:t>
      </w:r>
      <w:r>
        <w:rPr>
          <w:rFonts w:asciiTheme="minorEastAsia" w:eastAsiaTheme="minorEastAsia" w:hAnsiTheme="minorEastAsia" w:cstheme="minorEastAsia" w:hint="eastAsia"/>
          <w:sz w:val="18"/>
          <w:szCs w:val="18"/>
        </w:rPr>
        <w:t>技术参数</w:t>
      </w:r>
      <w:bookmarkEnd w:id="5"/>
    </w:p>
    <w:tbl>
      <w:tblPr>
        <w:tblStyle w:val="ad"/>
        <w:tblW w:w="9058" w:type="dxa"/>
        <w:jc w:val="center"/>
        <w:tblLook w:val="04A0"/>
      </w:tblPr>
      <w:tblGrid>
        <w:gridCol w:w="562"/>
        <w:gridCol w:w="1956"/>
        <w:gridCol w:w="5191"/>
        <w:gridCol w:w="1349"/>
      </w:tblGrid>
      <w:tr w:rsidR="0088187C">
        <w:trPr>
          <w:trHeight w:val="494"/>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序号</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名</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称</w:t>
            </w:r>
          </w:p>
        </w:tc>
        <w:tc>
          <w:tcPr>
            <w:tcW w:w="5191" w:type="dxa"/>
            <w:vAlign w:val="center"/>
          </w:tcPr>
          <w:p w:rsidR="0088187C" w:rsidRDefault="007E6BCA">
            <w:pPr>
              <w:tabs>
                <w:tab w:val="left" w:pos="2746"/>
              </w:tabs>
              <w:jc w:val="center"/>
              <w:rPr>
                <w:rFonts w:asciiTheme="minorEastAsia" w:eastAsiaTheme="minorEastAsia" w:hAnsiTheme="minorEastAsia" w:cstheme="minorEastAsia"/>
                <w:color w:val="FF0000"/>
                <w:sz w:val="18"/>
                <w:szCs w:val="18"/>
              </w:rPr>
            </w:pPr>
            <w:r>
              <w:rPr>
                <w:rFonts w:asciiTheme="minorEastAsia" w:eastAsiaTheme="minorEastAsia" w:hAnsiTheme="minorEastAsia" w:cstheme="minorEastAsia" w:hint="eastAsia"/>
                <w:b/>
                <w:bCs/>
                <w:sz w:val="18"/>
                <w:szCs w:val="18"/>
              </w:rPr>
              <w:t>技术指</w:t>
            </w:r>
            <w:r>
              <w:rPr>
                <w:rFonts w:asciiTheme="minorEastAsia" w:eastAsiaTheme="minorEastAsia" w:hAnsiTheme="minorEastAsia" w:cstheme="minorEastAsia" w:hint="eastAsia"/>
                <w:b/>
                <w:bCs/>
                <w:sz w:val="18"/>
                <w:szCs w:val="18"/>
              </w:rPr>
              <w:t>标名称</w:t>
            </w:r>
          </w:p>
        </w:tc>
        <w:tc>
          <w:tcPr>
            <w:tcW w:w="1349"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备注</w:t>
            </w: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956" w:type="dxa"/>
            <w:vAlign w:val="center"/>
          </w:tcPr>
          <w:p w:rsidR="0088187C" w:rsidRDefault="007E6BCA">
            <w:pPr>
              <w:tabs>
                <w:tab w:val="left" w:pos="2746"/>
              </w:tabs>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重量</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xml:space="preserve"> 8.5kg</w:t>
            </w:r>
          </w:p>
        </w:tc>
        <w:tc>
          <w:tcPr>
            <w:tcW w:w="1349"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不包含立柱</w:t>
            </w: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机箱机柜尺寸</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1650*515*230 mm</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H*W*D</w:t>
            </w:r>
            <w:r>
              <w:rPr>
                <w:rFonts w:asciiTheme="minorEastAsia" w:eastAsiaTheme="minorEastAsia" w:hAnsiTheme="minorEastAsia" w:cstheme="minorEastAsia" w:hint="eastAsia"/>
                <w:sz w:val="18"/>
                <w:szCs w:val="18"/>
              </w:rPr>
              <w:t>）</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材料</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钣金</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全钢化玻璃面板</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防护等级</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IP54</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使用环境</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室内或室外</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6</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冷却方式</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自然冷却</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7</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运行温度</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C~+50</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C</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8</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存储温度</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-25</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C~+70</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C</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9</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相对湿度</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5%~95%</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海拔高度</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2000m</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11</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安装方式</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落地安装</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12</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显示方式</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多彩指示灯</w:t>
            </w:r>
            <w:r>
              <w:rPr>
                <w:rFonts w:asciiTheme="minorEastAsia" w:eastAsiaTheme="minorEastAsia" w:hAnsiTheme="minorEastAsia" w:cstheme="minorEastAsia" w:hint="eastAsia"/>
                <w:sz w:val="18"/>
                <w:szCs w:val="18"/>
              </w:rPr>
              <w:t>/4.3</w:t>
            </w:r>
            <w:r>
              <w:rPr>
                <w:rFonts w:asciiTheme="minorEastAsia" w:eastAsiaTheme="minorEastAsia" w:hAnsiTheme="minorEastAsia" w:cstheme="minorEastAsia" w:hint="eastAsia"/>
                <w:sz w:val="18"/>
                <w:szCs w:val="18"/>
              </w:rPr>
              <w:t>寸高清全彩显示屏</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13</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联网方式</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以太网</w:t>
            </w:r>
            <w:r>
              <w:rPr>
                <w:rFonts w:asciiTheme="minorEastAsia" w:eastAsiaTheme="minorEastAsia" w:hAnsiTheme="minorEastAsia" w:cstheme="minorEastAsia" w:hint="eastAsia"/>
                <w:sz w:val="18"/>
                <w:szCs w:val="18"/>
              </w:rPr>
              <w:t>/4G</w:t>
            </w:r>
            <w:r>
              <w:rPr>
                <w:rFonts w:asciiTheme="minorEastAsia" w:eastAsiaTheme="minorEastAsia" w:hAnsiTheme="minorEastAsia" w:cstheme="minorEastAsia" w:hint="eastAsia"/>
                <w:sz w:val="18"/>
                <w:szCs w:val="18"/>
              </w:rPr>
              <w:t>（选配）</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14</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网络后台</w:t>
            </w:r>
          </w:p>
        </w:tc>
        <w:tc>
          <w:tcPr>
            <w:tcW w:w="5191" w:type="dxa"/>
            <w:vAlign w:val="center"/>
          </w:tcPr>
          <w:p w:rsidR="0088187C" w:rsidRDefault="007E6BCA" w:rsidP="00EC2E93">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云快充</w:t>
            </w:r>
            <w:r>
              <w:rPr>
                <w:rFonts w:asciiTheme="minorEastAsia" w:eastAsiaTheme="minorEastAsia" w:hAnsiTheme="minorEastAsia" w:cstheme="minorEastAsia" w:hint="eastAsia"/>
                <w:sz w:val="18"/>
                <w:szCs w:val="18"/>
              </w:rPr>
              <w:t>平台</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15</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支付方式</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扫码</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刷卡</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16</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充电模式</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自动充满</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17</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保护功能</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自检、短路、过流、漏电、过载等功能</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18</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输入电压</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AC220V</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20%</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19</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输入频率</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50</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1%Hz</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充电枪数</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双枪</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21</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枪线长度</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4M</w:t>
            </w:r>
            <w:r>
              <w:rPr>
                <w:rFonts w:asciiTheme="minorEastAsia" w:eastAsiaTheme="minorEastAsia" w:hAnsiTheme="minorEastAsia" w:cstheme="minorEastAsia" w:hint="eastAsia"/>
                <w:sz w:val="18"/>
                <w:szCs w:val="18"/>
              </w:rPr>
              <w:t>（可定制选配）</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22</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输出功率</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14kW</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2*7kW</w:t>
            </w:r>
            <w:r>
              <w:rPr>
                <w:rFonts w:asciiTheme="minorEastAsia" w:eastAsiaTheme="minorEastAsia" w:hAnsiTheme="minorEastAsia" w:cstheme="minorEastAsia" w:hint="eastAsia"/>
                <w:sz w:val="18"/>
                <w:szCs w:val="18"/>
              </w:rPr>
              <w:t>）</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23</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输出电压</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AC220V</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20%</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24</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输出电流</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32A*2</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r w:rsidR="0088187C">
        <w:trPr>
          <w:trHeight w:val="261"/>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25</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电能计量</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w:t>
            </w:r>
            <w:r>
              <w:rPr>
                <w:rFonts w:asciiTheme="minorEastAsia" w:eastAsiaTheme="minorEastAsia" w:hAnsiTheme="minorEastAsia" w:cstheme="minorEastAsia" w:hint="eastAsia"/>
                <w:sz w:val="18"/>
                <w:szCs w:val="18"/>
              </w:rPr>
              <w:t>级</w:t>
            </w:r>
            <w:r>
              <w:rPr>
                <w:rFonts w:asciiTheme="minorEastAsia" w:eastAsiaTheme="minorEastAsia" w:hAnsiTheme="minorEastAsia" w:cstheme="minorEastAsia" w:hint="eastAsia"/>
                <w:sz w:val="18"/>
                <w:szCs w:val="18"/>
              </w:rPr>
              <w:t xml:space="preserve"> </w:t>
            </w:r>
          </w:p>
        </w:tc>
        <w:tc>
          <w:tcPr>
            <w:tcW w:w="1349"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可外置电表</w:t>
            </w:r>
          </w:p>
        </w:tc>
      </w:tr>
      <w:tr w:rsidR="0088187C">
        <w:trPr>
          <w:trHeight w:val="269"/>
          <w:jc w:val="center"/>
        </w:trPr>
        <w:tc>
          <w:tcPr>
            <w:tcW w:w="562"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26</w:t>
            </w:r>
          </w:p>
        </w:tc>
        <w:tc>
          <w:tcPr>
            <w:tcW w:w="1956"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固件升级</w:t>
            </w:r>
          </w:p>
        </w:tc>
        <w:tc>
          <w:tcPr>
            <w:tcW w:w="5191" w:type="dxa"/>
            <w:vAlign w:val="center"/>
          </w:tcPr>
          <w:p w:rsidR="0088187C" w:rsidRDefault="007E6BCA">
            <w:pPr>
              <w:tabs>
                <w:tab w:val="left" w:pos="2746"/>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远程更新</w:t>
            </w:r>
          </w:p>
        </w:tc>
        <w:tc>
          <w:tcPr>
            <w:tcW w:w="1349" w:type="dxa"/>
            <w:vAlign w:val="center"/>
          </w:tcPr>
          <w:p w:rsidR="0088187C" w:rsidRDefault="0088187C">
            <w:pPr>
              <w:tabs>
                <w:tab w:val="left" w:pos="2746"/>
              </w:tabs>
              <w:jc w:val="center"/>
              <w:rPr>
                <w:rFonts w:asciiTheme="minorEastAsia" w:eastAsiaTheme="minorEastAsia" w:hAnsiTheme="minorEastAsia" w:cstheme="minorEastAsia"/>
                <w:sz w:val="18"/>
                <w:szCs w:val="18"/>
              </w:rPr>
            </w:pPr>
          </w:p>
        </w:tc>
      </w:tr>
    </w:tbl>
    <w:p w:rsidR="0088187C" w:rsidRDefault="007E6BCA">
      <w:pPr>
        <w:pStyle w:val="2"/>
        <w:spacing w:before="0" w:after="0" w:line="240" w:lineRule="auto"/>
        <w:rPr>
          <w:rFonts w:asciiTheme="minorEastAsia" w:eastAsiaTheme="minorEastAsia" w:hAnsiTheme="minorEastAsia" w:cstheme="minorEastAsia"/>
          <w:sz w:val="18"/>
          <w:szCs w:val="18"/>
        </w:rPr>
      </w:pPr>
      <w:bookmarkStart w:id="6" w:name="_Toc86413358"/>
      <w:r>
        <w:rPr>
          <w:rFonts w:asciiTheme="minorEastAsia" w:eastAsiaTheme="minorEastAsia" w:hAnsiTheme="minorEastAsia" w:cstheme="minorEastAsia" w:hint="eastAsia"/>
          <w:sz w:val="18"/>
          <w:szCs w:val="18"/>
        </w:rPr>
        <w:t>6.</w:t>
      </w:r>
      <w:r>
        <w:rPr>
          <w:rFonts w:asciiTheme="minorEastAsia" w:eastAsiaTheme="minorEastAsia" w:hAnsiTheme="minorEastAsia" w:cstheme="minorEastAsia" w:hint="eastAsia"/>
          <w:sz w:val="18"/>
          <w:szCs w:val="18"/>
        </w:rPr>
        <w:t>充电桩主要器件明细</w:t>
      </w:r>
      <w:bookmarkEnd w:id="6"/>
    </w:p>
    <w:tbl>
      <w:tblPr>
        <w:tblStyle w:val="ad"/>
        <w:tblW w:w="9105" w:type="dxa"/>
        <w:tblInd w:w="-288" w:type="dxa"/>
        <w:tblLook w:val="04A0"/>
      </w:tblPr>
      <w:tblGrid>
        <w:gridCol w:w="1105"/>
        <w:gridCol w:w="1701"/>
        <w:gridCol w:w="1985"/>
        <w:gridCol w:w="992"/>
        <w:gridCol w:w="1701"/>
        <w:gridCol w:w="1621"/>
      </w:tblGrid>
      <w:tr w:rsidR="0088187C">
        <w:tc>
          <w:tcPr>
            <w:tcW w:w="110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序号</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名称</w:t>
            </w:r>
          </w:p>
        </w:tc>
        <w:tc>
          <w:tcPr>
            <w:tcW w:w="198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规格型号</w:t>
            </w:r>
          </w:p>
        </w:tc>
        <w:tc>
          <w:tcPr>
            <w:tcW w:w="992"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数量</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标</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选配</w:t>
            </w:r>
          </w:p>
        </w:tc>
        <w:tc>
          <w:tcPr>
            <w:tcW w:w="162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备注</w:t>
            </w:r>
          </w:p>
        </w:tc>
      </w:tr>
      <w:tr w:rsidR="0088187C">
        <w:tc>
          <w:tcPr>
            <w:tcW w:w="110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主控板</w:t>
            </w:r>
          </w:p>
        </w:tc>
        <w:tc>
          <w:tcPr>
            <w:tcW w:w="1985" w:type="dxa"/>
          </w:tcPr>
          <w:p w:rsidR="0088187C" w:rsidRDefault="0088187C">
            <w:pPr>
              <w:jc w:val="center"/>
              <w:rPr>
                <w:rFonts w:asciiTheme="minorEastAsia" w:eastAsiaTheme="minorEastAsia" w:hAnsiTheme="minorEastAsia" w:cstheme="minorEastAsia"/>
                <w:sz w:val="18"/>
                <w:szCs w:val="18"/>
              </w:rPr>
            </w:pPr>
          </w:p>
        </w:tc>
        <w:tc>
          <w:tcPr>
            <w:tcW w:w="992"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标配</w:t>
            </w:r>
          </w:p>
        </w:tc>
        <w:tc>
          <w:tcPr>
            <w:tcW w:w="1621" w:type="dxa"/>
          </w:tcPr>
          <w:p w:rsidR="0088187C" w:rsidRDefault="0088187C">
            <w:pPr>
              <w:jc w:val="center"/>
              <w:rPr>
                <w:rFonts w:asciiTheme="minorEastAsia" w:eastAsiaTheme="minorEastAsia" w:hAnsiTheme="minorEastAsia" w:cstheme="minorEastAsia"/>
                <w:sz w:val="18"/>
                <w:szCs w:val="18"/>
              </w:rPr>
            </w:pPr>
          </w:p>
        </w:tc>
      </w:tr>
      <w:tr w:rsidR="0088187C">
        <w:tc>
          <w:tcPr>
            <w:tcW w:w="110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急停按钮</w:t>
            </w:r>
          </w:p>
        </w:tc>
        <w:tc>
          <w:tcPr>
            <w:tcW w:w="198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1NC</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1NO</w:t>
            </w:r>
          </w:p>
        </w:tc>
        <w:tc>
          <w:tcPr>
            <w:tcW w:w="992"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标配</w:t>
            </w:r>
          </w:p>
        </w:tc>
        <w:tc>
          <w:tcPr>
            <w:tcW w:w="1621" w:type="dxa"/>
          </w:tcPr>
          <w:p w:rsidR="0088187C" w:rsidRDefault="0088187C">
            <w:pPr>
              <w:jc w:val="center"/>
              <w:rPr>
                <w:rFonts w:asciiTheme="minorEastAsia" w:eastAsiaTheme="minorEastAsia" w:hAnsiTheme="minorEastAsia" w:cstheme="minorEastAsia"/>
                <w:sz w:val="18"/>
                <w:szCs w:val="18"/>
              </w:rPr>
            </w:pPr>
          </w:p>
        </w:tc>
      </w:tr>
      <w:tr w:rsidR="0088187C">
        <w:tc>
          <w:tcPr>
            <w:tcW w:w="110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充电枪</w:t>
            </w:r>
          </w:p>
        </w:tc>
        <w:tc>
          <w:tcPr>
            <w:tcW w:w="198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32A</w:t>
            </w:r>
          </w:p>
        </w:tc>
        <w:tc>
          <w:tcPr>
            <w:tcW w:w="992"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标配</w:t>
            </w:r>
          </w:p>
        </w:tc>
        <w:tc>
          <w:tcPr>
            <w:tcW w:w="1621" w:type="dxa"/>
          </w:tcPr>
          <w:p w:rsidR="0088187C" w:rsidRDefault="0088187C">
            <w:pPr>
              <w:jc w:val="center"/>
              <w:rPr>
                <w:rFonts w:asciiTheme="minorEastAsia" w:eastAsiaTheme="minorEastAsia" w:hAnsiTheme="minorEastAsia" w:cstheme="minorEastAsia"/>
                <w:sz w:val="18"/>
                <w:szCs w:val="18"/>
              </w:rPr>
            </w:pPr>
          </w:p>
        </w:tc>
      </w:tr>
      <w:tr w:rsidR="0088187C">
        <w:tc>
          <w:tcPr>
            <w:tcW w:w="110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指示灯</w:t>
            </w:r>
          </w:p>
        </w:tc>
        <w:tc>
          <w:tcPr>
            <w:tcW w:w="198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三色灯</w:t>
            </w:r>
          </w:p>
        </w:tc>
        <w:tc>
          <w:tcPr>
            <w:tcW w:w="992"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标配</w:t>
            </w:r>
          </w:p>
        </w:tc>
        <w:tc>
          <w:tcPr>
            <w:tcW w:w="1621" w:type="dxa"/>
          </w:tcPr>
          <w:p w:rsidR="0088187C" w:rsidRDefault="0088187C">
            <w:pPr>
              <w:jc w:val="center"/>
              <w:rPr>
                <w:rFonts w:asciiTheme="minorEastAsia" w:eastAsiaTheme="minorEastAsia" w:hAnsiTheme="minorEastAsia" w:cstheme="minorEastAsia"/>
                <w:sz w:val="18"/>
                <w:szCs w:val="18"/>
              </w:rPr>
            </w:pPr>
          </w:p>
        </w:tc>
      </w:tr>
      <w:tr w:rsidR="0088187C">
        <w:tc>
          <w:tcPr>
            <w:tcW w:w="110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微型漏电空开</w:t>
            </w:r>
          </w:p>
        </w:tc>
        <w:tc>
          <w:tcPr>
            <w:tcW w:w="198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80A</w:t>
            </w:r>
          </w:p>
        </w:tc>
        <w:tc>
          <w:tcPr>
            <w:tcW w:w="992"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可选配</w:t>
            </w:r>
          </w:p>
        </w:tc>
        <w:tc>
          <w:tcPr>
            <w:tcW w:w="1621" w:type="dxa"/>
          </w:tcPr>
          <w:p w:rsidR="0088187C" w:rsidRDefault="0088187C">
            <w:pPr>
              <w:jc w:val="center"/>
              <w:rPr>
                <w:rFonts w:asciiTheme="minorEastAsia" w:eastAsiaTheme="minorEastAsia" w:hAnsiTheme="minorEastAsia" w:cstheme="minorEastAsia"/>
                <w:sz w:val="18"/>
                <w:szCs w:val="18"/>
              </w:rPr>
            </w:pPr>
          </w:p>
        </w:tc>
      </w:tr>
      <w:tr w:rsidR="0088187C">
        <w:tc>
          <w:tcPr>
            <w:tcW w:w="110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6</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读卡器</w:t>
            </w:r>
          </w:p>
        </w:tc>
        <w:tc>
          <w:tcPr>
            <w:tcW w:w="1985" w:type="dxa"/>
          </w:tcPr>
          <w:p w:rsidR="0088187C" w:rsidRDefault="0088187C">
            <w:pPr>
              <w:jc w:val="center"/>
              <w:rPr>
                <w:rFonts w:asciiTheme="minorEastAsia" w:eastAsiaTheme="minorEastAsia" w:hAnsiTheme="minorEastAsia" w:cstheme="minorEastAsia"/>
                <w:sz w:val="18"/>
                <w:szCs w:val="18"/>
              </w:rPr>
            </w:pPr>
          </w:p>
        </w:tc>
        <w:tc>
          <w:tcPr>
            <w:tcW w:w="992"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可选配</w:t>
            </w:r>
          </w:p>
        </w:tc>
        <w:tc>
          <w:tcPr>
            <w:tcW w:w="1621" w:type="dxa"/>
          </w:tcPr>
          <w:p w:rsidR="0088187C" w:rsidRDefault="0088187C">
            <w:pPr>
              <w:jc w:val="center"/>
              <w:rPr>
                <w:rFonts w:asciiTheme="minorEastAsia" w:eastAsiaTheme="minorEastAsia" w:hAnsiTheme="minorEastAsia" w:cstheme="minorEastAsia"/>
                <w:sz w:val="18"/>
                <w:szCs w:val="18"/>
              </w:rPr>
            </w:pPr>
          </w:p>
        </w:tc>
      </w:tr>
      <w:tr w:rsidR="0088187C">
        <w:tc>
          <w:tcPr>
            <w:tcW w:w="110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7</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以太网</w:t>
            </w:r>
          </w:p>
        </w:tc>
        <w:tc>
          <w:tcPr>
            <w:tcW w:w="1985" w:type="dxa"/>
          </w:tcPr>
          <w:p w:rsidR="0088187C" w:rsidRDefault="0088187C">
            <w:pPr>
              <w:jc w:val="center"/>
              <w:rPr>
                <w:rFonts w:asciiTheme="minorEastAsia" w:eastAsiaTheme="minorEastAsia" w:hAnsiTheme="minorEastAsia" w:cstheme="minorEastAsia"/>
                <w:sz w:val="18"/>
                <w:szCs w:val="18"/>
              </w:rPr>
            </w:pPr>
          </w:p>
        </w:tc>
        <w:tc>
          <w:tcPr>
            <w:tcW w:w="992"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可选配</w:t>
            </w:r>
          </w:p>
        </w:tc>
        <w:tc>
          <w:tcPr>
            <w:tcW w:w="1621" w:type="dxa"/>
          </w:tcPr>
          <w:p w:rsidR="0088187C" w:rsidRDefault="0088187C">
            <w:pPr>
              <w:jc w:val="center"/>
              <w:rPr>
                <w:rFonts w:asciiTheme="minorEastAsia" w:eastAsiaTheme="minorEastAsia" w:hAnsiTheme="minorEastAsia" w:cstheme="minorEastAsia"/>
                <w:sz w:val="18"/>
                <w:szCs w:val="18"/>
              </w:rPr>
            </w:pPr>
          </w:p>
        </w:tc>
      </w:tr>
      <w:tr w:rsidR="0088187C">
        <w:tc>
          <w:tcPr>
            <w:tcW w:w="1105"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8</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4G</w:t>
            </w:r>
            <w:r>
              <w:rPr>
                <w:rFonts w:asciiTheme="minorEastAsia" w:eastAsiaTheme="minorEastAsia" w:hAnsiTheme="minorEastAsia" w:cstheme="minorEastAsia" w:hint="eastAsia"/>
                <w:sz w:val="18"/>
                <w:szCs w:val="18"/>
              </w:rPr>
              <w:t>模块</w:t>
            </w:r>
          </w:p>
        </w:tc>
        <w:tc>
          <w:tcPr>
            <w:tcW w:w="1985" w:type="dxa"/>
          </w:tcPr>
          <w:p w:rsidR="0088187C" w:rsidRDefault="0088187C">
            <w:pPr>
              <w:jc w:val="center"/>
              <w:rPr>
                <w:rFonts w:asciiTheme="minorEastAsia" w:eastAsiaTheme="minorEastAsia" w:hAnsiTheme="minorEastAsia" w:cstheme="minorEastAsia"/>
                <w:sz w:val="18"/>
                <w:szCs w:val="18"/>
              </w:rPr>
            </w:pPr>
          </w:p>
        </w:tc>
        <w:tc>
          <w:tcPr>
            <w:tcW w:w="992"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70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可选配</w:t>
            </w:r>
          </w:p>
        </w:tc>
        <w:tc>
          <w:tcPr>
            <w:tcW w:w="1621" w:type="dxa"/>
          </w:tcPr>
          <w:p w:rsidR="0088187C" w:rsidRDefault="0088187C">
            <w:pPr>
              <w:jc w:val="center"/>
              <w:rPr>
                <w:rFonts w:asciiTheme="minorEastAsia" w:eastAsiaTheme="minorEastAsia" w:hAnsiTheme="minorEastAsia" w:cstheme="minorEastAsia"/>
                <w:sz w:val="18"/>
                <w:szCs w:val="18"/>
              </w:rPr>
            </w:pPr>
          </w:p>
        </w:tc>
      </w:tr>
    </w:tbl>
    <w:p w:rsidR="0088187C" w:rsidRDefault="007E6BCA">
      <w:pPr>
        <w:pStyle w:val="2"/>
        <w:spacing w:before="0" w:after="0" w:line="240" w:lineRule="auto"/>
        <w:rPr>
          <w:rFonts w:asciiTheme="minorEastAsia" w:eastAsiaTheme="minorEastAsia" w:hAnsiTheme="minorEastAsia" w:cstheme="minorEastAsia"/>
          <w:sz w:val="18"/>
          <w:szCs w:val="18"/>
        </w:rPr>
      </w:pPr>
      <w:bookmarkStart w:id="7" w:name="_Toc86413359"/>
      <w:r>
        <w:rPr>
          <w:rFonts w:asciiTheme="minorEastAsia" w:eastAsiaTheme="minorEastAsia" w:hAnsiTheme="minorEastAsia" w:cstheme="minorEastAsia" w:hint="eastAsia"/>
          <w:sz w:val="18"/>
          <w:szCs w:val="18"/>
        </w:rPr>
        <w:t>7.</w:t>
      </w:r>
      <w:r>
        <w:rPr>
          <w:rFonts w:asciiTheme="minorEastAsia" w:eastAsiaTheme="minorEastAsia" w:hAnsiTheme="minorEastAsia" w:cstheme="minorEastAsia" w:hint="eastAsia"/>
          <w:sz w:val="18"/>
          <w:szCs w:val="18"/>
        </w:rPr>
        <w:t>通信接口</w:t>
      </w:r>
      <w:bookmarkEnd w:id="7"/>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8"/>
          <w:szCs w:val="18"/>
        </w:rPr>
        <w:t>）、交流电能表通讯采用</w:t>
      </w:r>
      <w:r>
        <w:rPr>
          <w:rFonts w:asciiTheme="minorEastAsia" w:eastAsiaTheme="minorEastAsia" w:hAnsiTheme="minorEastAsia" w:cstheme="minorEastAsia" w:hint="eastAsia"/>
          <w:sz w:val="18"/>
          <w:szCs w:val="18"/>
        </w:rPr>
        <w:t>RS485</w:t>
      </w:r>
      <w:r>
        <w:rPr>
          <w:rFonts w:asciiTheme="minorEastAsia" w:eastAsiaTheme="minorEastAsia" w:hAnsiTheme="minorEastAsia" w:cstheme="minorEastAsia" w:hint="eastAsia"/>
          <w:sz w:val="18"/>
          <w:szCs w:val="18"/>
        </w:rPr>
        <w:t>通信；</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）、显示屏通讯采用</w:t>
      </w:r>
      <w:r>
        <w:rPr>
          <w:rFonts w:asciiTheme="minorEastAsia" w:eastAsiaTheme="minorEastAsia" w:hAnsiTheme="minorEastAsia" w:cstheme="minorEastAsia" w:hint="eastAsia"/>
          <w:sz w:val="18"/>
          <w:szCs w:val="18"/>
        </w:rPr>
        <w:t>TTL</w:t>
      </w:r>
      <w:r>
        <w:rPr>
          <w:rFonts w:asciiTheme="minorEastAsia" w:eastAsiaTheme="minorEastAsia" w:hAnsiTheme="minorEastAsia" w:cstheme="minorEastAsia" w:hint="eastAsia"/>
          <w:sz w:val="18"/>
          <w:szCs w:val="18"/>
        </w:rPr>
        <w:t>通信；</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）、读卡器通通采用</w:t>
      </w:r>
      <w:r>
        <w:rPr>
          <w:rFonts w:asciiTheme="minorEastAsia" w:eastAsiaTheme="minorEastAsia" w:hAnsiTheme="minorEastAsia" w:cstheme="minorEastAsia" w:hint="eastAsia"/>
          <w:sz w:val="18"/>
          <w:szCs w:val="18"/>
        </w:rPr>
        <w:t>RS232</w:t>
      </w:r>
      <w:r>
        <w:rPr>
          <w:rFonts w:asciiTheme="minorEastAsia" w:eastAsiaTheme="minorEastAsia" w:hAnsiTheme="minorEastAsia" w:cstheme="minorEastAsia" w:hint="eastAsia"/>
          <w:sz w:val="18"/>
          <w:szCs w:val="18"/>
        </w:rPr>
        <w:t>通信；</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4</w:t>
      </w:r>
      <w:r>
        <w:rPr>
          <w:rFonts w:asciiTheme="minorEastAsia" w:eastAsiaTheme="minorEastAsia" w:hAnsiTheme="minorEastAsia" w:cstheme="minorEastAsia" w:hint="eastAsia"/>
          <w:sz w:val="18"/>
          <w:szCs w:val="18"/>
        </w:rPr>
        <w:t>）、联网采用</w:t>
      </w:r>
      <w:r>
        <w:rPr>
          <w:rFonts w:asciiTheme="minorEastAsia" w:eastAsiaTheme="minorEastAsia" w:hAnsiTheme="minorEastAsia" w:cstheme="minorEastAsia" w:hint="eastAsia"/>
          <w:sz w:val="18"/>
          <w:szCs w:val="18"/>
        </w:rPr>
        <w:t>4G</w:t>
      </w:r>
      <w:r>
        <w:rPr>
          <w:rFonts w:asciiTheme="minorEastAsia" w:eastAsiaTheme="minorEastAsia" w:hAnsiTheme="minorEastAsia" w:cstheme="minorEastAsia" w:hint="eastAsia"/>
          <w:sz w:val="18"/>
          <w:szCs w:val="18"/>
        </w:rPr>
        <w:t>模块或以太网通信；</w:t>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8" w:name="_Toc86413360"/>
      <w:r>
        <w:rPr>
          <w:rFonts w:asciiTheme="minorEastAsia" w:eastAsiaTheme="minorEastAsia" w:hAnsiTheme="minorEastAsia" w:cstheme="minorEastAsia" w:hint="eastAsia"/>
          <w:sz w:val="18"/>
          <w:szCs w:val="18"/>
        </w:rPr>
        <w:t>8.</w:t>
      </w:r>
      <w:r>
        <w:rPr>
          <w:rFonts w:asciiTheme="minorEastAsia" w:eastAsiaTheme="minorEastAsia" w:hAnsiTheme="minorEastAsia" w:cstheme="minorEastAsia" w:hint="eastAsia"/>
          <w:sz w:val="18"/>
          <w:szCs w:val="18"/>
        </w:rPr>
        <w:t>产品功能</w:t>
      </w:r>
      <w:bookmarkEnd w:id="8"/>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8"/>
          <w:szCs w:val="18"/>
        </w:rPr>
        <w:t>）智能自检。主控系统可智能自检，显示并上报系统；</w:t>
      </w:r>
    </w:p>
    <w:p w:rsidR="0088187C" w:rsidRDefault="007E6BCA">
      <w:pPr>
        <w:jc w:val="left"/>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）主控可智能判断充电接头是否已正确连接。当正确连接后，充电接口才能够输出电源，当充电接头异常断开时，交流充电桩能立刻停止输出，以保证人身安全。</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sz w:val="18"/>
          <w:szCs w:val="18"/>
        </w:rPr>
        <w:t>（</w:t>
      </w:r>
      <w:r>
        <w:rPr>
          <w:rFonts w:asciiTheme="minorEastAsia" w:eastAsiaTheme="minorEastAsia" w:hAnsiTheme="minorEastAsia" w:cstheme="minorEastAsia" w:hint="eastAsia"/>
          <w:color w:val="000000"/>
          <w:sz w:val="18"/>
          <w:szCs w:val="18"/>
        </w:rPr>
        <w:t>3</w:t>
      </w:r>
      <w:r>
        <w:rPr>
          <w:rFonts w:asciiTheme="minorEastAsia" w:eastAsiaTheme="minorEastAsia" w:hAnsiTheme="minorEastAsia" w:cstheme="minorEastAsia" w:hint="eastAsia"/>
          <w:color w:val="000000"/>
          <w:sz w:val="18"/>
          <w:szCs w:val="18"/>
        </w:rPr>
        <w:t>）</w:t>
      </w:r>
      <w:r>
        <w:rPr>
          <w:rFonts w:asciiTheme="minorEastAsia" w:eastAsiaTheme="minorEastAsia" w:hAnsiTheme="minorEastAsia" w:cstheme="minorEastAsia" w:hint="eastAsia"/>
          <w:sz w:val="18"/>
          <w:szCs w:val="18"/>
        </w:rPr>
        <w:t>充电桩具有输出过压、欠压、过负荷保护功能。当充电电压超过过压保护定值或低于欠压保护定值，充电桩停止充电，以保护充电设备。当充电电流超过负荷电流定值，延时发出告警信号并自动切断充电电源。</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4</w:t>
      </w:r>
      <w:r>
        <w:rPr>
          <w:rFonts w:asciiTheme="minorEastAsia" w:eastAsiaTheme="minorEastAsia" w:hAnsiTheme="minorEastAsia" w:cstheme="minorEastAsia" w:hint="eastAsia"/>
          <w:sz w:val="18"/>
          <w:szCs w:val="18"/>
        </w:rPr>
        <w:t>）充电桩具有短路、漏电保护功能。保护范围从充电桩进线到充电输出回路。</w:t>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9" w:name="_Toc86413361"/>
      <w:r>
        <w:rPr>
          <w:rFonts w:asciiTheme="minorEastAsia" w:eastAsiaTheme="minorEastAsia" w:hAnsiTheme="minorEastAsia" w:cstheme="minorEastAsia" w:hint="eastAsia"/>
          <w:sz w:val="18"/>
          <w:szCs w:val="18"/>
        </w:rPr>
        <w:t>9.</w:t>
      </w:r>
      <w:r>
        <w:rPr>
          <w:rFonts w:asciiTheme="minorEastAsia" w:eastAsiaTheme="minorEastAsia" w:hAnsiTheme="minorEastAsia" w:cstheme="minorEastAsia" w:hint="eastAsia"/>
          <w:sz w:val="18"/>
          <w:szCs w:val="18"/>
        </w:rPr>
        <w:t>产品特点</w:t>
      </w:r>
      <w:bookmarkEnd w:id="9"/>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本公司交流充电桩具有安全稳定、系统高度集成、操作简单、占地面积小、工业级防护等级等特点。</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8"/>
          <w:szCs w:val="18"/>
        </w:rPr>
        <w:t>）安全稳定：本公司交流充电桩提供可靠的电气安全防护功能，可防盗、防尘、防水，运行稳定，可保证长期可靠运行。</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）系统高度集成：将整个充电桩所需的功能，如充电，人机操作、安全保护等功能进行了高度集成，且系统简单，易于理解，运行稳定可靠。</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）简洁易用，全彩高清显示屏，可视化操作。</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4</w:t>
      </w:r>
      <w:r>
        <w:rPr>
          <w:rFonts w:asciiTheme="minorEastAsia" w:eastAsiaTheme="minorEastAsia" w:hAnsiTheme="minorEastAsia" w:cstheme="minorEastAsia" w:hint="eastAsia"/>
          <w:sz w:val="18"/>
          <w:szCs w:val="18"/>
        </w:rPr>
        <w:t>）占地面积小、安装方便：整个充电桩所占用的</w:t>
      </w:r>
      <w:r>
        <w:rPr>
          <w:rFonts w:asciiTheme="minorEastAsia" w:eastAsiaTheme="minorEastAsia" w:hAnsiTheme="minorEastAsia" w:cstheme="minorEastAsia" w:hint="eastAsia"/>
          <w:sz w:val="18"/>
          <w:szCs w:val="18"/>
        </w:rPr>
        <w:t>平面面积和空间体积均十分合理，提高空间利用率，便于在用地紧张的地段进行安装应用。</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5</w:t>
      </w:r>
      <w:r>
        <w:rPr>
          <w:rFonts w:asciiTheme="minorEastAsia" w:eastAsiaTheme="minorEastAsia" w:hAnsiTheme="minorEastAsia" w:cstheme="minorEastAsia" w:hint="eastAsia"/>
          <w:sz w:val="18"/>
          <w:szCs w:val="18"/>
        </w:rPr>
        <w:t>）具有</w:t>
      </w:r>
      <w:r>
        <w:rPr>
          <w:rFonts w:asciiTheme="minorEastAsia" w:eastAsiaTheme="minorEastAsia" w:hAnsiTheme="minorEastAsia" w:cstheme="minorEastAsia" w:hint="eastAsia"/>
          <w:sz w:val="18"/>
          <w:szCs w:val="18"/>
        </w:rPr>
        <w:t>IP54</w:t>
      </w:r>
      <w:r>
        <w:rPr>
          <w:rFonts w:asciiTheme="minorEastAsia" w:eastAsiaTheme="minorEastAsia" w:hAnsiTheme="minorEastAsia" w:cstheme="minorEastAsia" w:hint="eastAsia"/>
          <w:sz w:val="18"/>
          <w:szCs w:val="18"/>
        </w:rPr>
        <w:t>工业级防护。可满足室外使用；</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6</w:t>
      </w:r>
      <w:r>
        <w:rPr>
          <w:rFonts w:asciiTheme="minorEastAsia" w:eastAsiaTheme="minorEastAsia" w:hAnsiTheme="minorEastAsia" w:cstheme="minorEastAsia" w:hint="eastAsia"/>
          <w:sz w:val="18"/>
          <w:szCs w:val="18"/>
        </w:rPr>
        <w:t>）具备完善的三防</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防潮湿，防霉变，防盐雾</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保护和防锈保护。</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桩内印刷线路板、接插件等电路均进行防潮湿、防霉变、防盐雾处理，保证充电桩能在室外潮湿、含盐雾的环境下正常运行。充电桩外壳和暴露在外的铁质支架、零件采取双层防锈措施，非铁质的金属外壳也具有防氧化保护膜或进行防氧化处理。</w:t>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10" w:name="_Toc86413362"/>
      <w:r>
        <w:rPr>
          <w:rFonts w:asciiTheme="minorEastAsia" w:eastAsiaTheme="minorEastAsia" w:hAnsiTheme="minorEastAsia" w:cstheme="minorEastAsia" w:hint="eastAsia"/>
          <w:sz w:val="18"/>
          <w:szCs w:val="18"/>
        </w:rPr>
        <w:t>10.</w:t>
      </w:r>
      <w:r>
        <w:rPr>
          <w:rFonts w:asciiTheme="minorEastAsia" w:eastAsiaTheme="minorEastAsia" w:hAnsiTheme="minorEastAsia" w:cstheme="minorEastAsia" w:hint="eastAsia"/>
          <w:sz w:val="18"/>
          <w:szCs w:val="18"/>
        </w:rPr>
        <w:t>系统组成及工作逻辑</w:t>
      </w:r>
      <w:bookmarkEnd w:id="10"/>
    </w:p>
    <w:p w:rsidR="0088187C" w:rsidRDefault="007E6BCA">
      <w:pPr>
        <w:pStyle w:val="3"/>
        <w:spacing w:before="0" w:after="0" w:line="240" w:lineRule="auto"/>
        <w:rPr>
          <w:rFonts w:asciiTheme="minorEastAsia" w:eastAsiaTheme="minorEastAsia" w:hAnsiTheme="minorEastAsia" w:cstheme="minorEastAsia"/>
          <w:sz w:val="18"/>
          <w:szCs w:val="18"/>
        </w:rPr>
      </w:pPr>
      <w:bookmarkStart w:id="11" w:name="_Toc86413363"/>
      <w:r>
        <w:rPr>
          <w:rFonts w:asciiTheme="minorEastAsia" w:eastAsiaTheme="minorEastAsia" w:hAnsiTheme="minorEastAsia" w:cstheme="minorEastAsia" w:hint="eastAsia"/>
          <w:sz w:val="18"/>
          <w:szCs w:val="18"/>
        </w:rPr>
        <w:t>10.1.</w:t>
      </w:r>
      <w:r>
        <w:rPr>
          <w:rFonts w:asciiTheme="minorEastAsia" w:eastAsiaTheme="minorEastAsia" w:hAnsiTheme="minorEastAsia" w:cstheme="minorEastAsia" w:hint="eastAsia"/>
          <w:sz w:val="18"/>
          <w:szCs w:val="18"/>
        </w:rPr>
        <w:t>系统组成</w:t>
      </w:r>
      <w:bookmarkEnd w:id="11"/>
    </w:p>
    <w:p w:rsidR="0088187C" w:rsidRDefault="007E6BCA">
      <w:pPr>
        <w:jc w:val="center"/>
        <w:rPr>
          <w:rFonts w:asciiTheme="minorEastAsia" w:eastAsiaTheme="minorEastAsia" w:hAnsiTheme="minorEastAsia" w:cstheme="minorEastAsia"/>
          <w:w w:val="120"/>
          <w:sz w:val="18"/>
          <w:szCs w:val="18"/>
        </w:rPr>
      </w:pPr>
      <w:r>
        <w:rPr>
          <w:rFonts w:asciiTheme="minorEastAsia" w:eastAsiaTheme="minorEastAsia" w:hAnsiTheme="minorEastAsia" w:cstheme="minorEastAsia" w:hint="eastAsia"/>
          <w:noProof/>
          <w:w w:val="120"/>
          <w:sz w:val="18"/>
          <w:szCs w:val="18"/>
        </w:rPr>
        <w:drawing>
          <wp:inline distT="0" distB="0" distL="0" distR="0">
            <wp:extent cx="1659890" cy="831850"/>
            <wp:effectExtent l="0" t="0" r="16510" b="6350"/>
            <wp:docPr id="85" name="图片 4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4" descr="图片1_副本"/>
                    <pic:cNvPicPr>
                      <a:picLocks noChangeAspect="1" noChangeArrowheads="1"/>
                    </pic:cNvPicPr>
                  </pic:nvPicPr>
                  <pic:blipFill>
                    <a:blip r:embed="rId11" cstate="print"/>
                    <a:srcRect/>
                    <a:stretch>
                      <a:fillRect/>
                    </a:stretch>
                  </pic:blipFill>
                  <pic:spPr>
                    <a:xfrm>
                      <a:off x="0" y="0"/>
                      <a:ext cx="1659890" cy="831850"/>
                    </a:xfrm>
                    <a:prstGeom prst="rect">
                      <a:avLst/>
                    </a:prstGeom>
                    <a:noFill/>
                    <a:ln w="9525">
                      <a:noFill/>
                      <a:miter lim="800000"/>
                      <a:headEnd/>
                      <a:tailEnd/>
                    </a:ln>
                  </pic:spPr>
                </pic:pic>
              </a:graphicData>
            </a:graphic>
          </wp:inline>
        </w:drawing>
      </w:r>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系统组成示意图</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电动汽车交流充电桩主要由人机交互部分及内部控制部分两大功能模块组成。</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人机交互部分由智能电表、读卡器、显示单元组成，用于设置充电、计费方式和设置充电过程参数、识别充电卡等。</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内部控制模块由主控板、电源、控制保护单元、后台通讯组成，完成充电过程的启动、运行、实时监控以及停止</w:t>
      </w:r>
      <w:bookmarkStart w:id="12" w:name="_Toc22032"/>
      <w:r>
        <w:rPr>
          <w:rFonts w:asciiTheme="minorEastAsia" w:eastAsiaTheme="minorEastAsia" w:hAnsiTheme="minorEastAsia" w:cstheme="minorEastAsia" w:hint="eastAsia"/>
          <w:sz w:val="18"/>
          <w:szCs w:val="18"/>
        </w:rPr>
        <w:t>；并可通过多种通讯方式将数据实时上送至后台。</w:t>
      </w:r>
    </w:p>
    <w:p w:rsidR="0088187C" w:rsidRDefault="007E6BCA">
      <w:pPr>
        <w:pStyle w:val="3"/>
        <w:spacing w:before="0" w:after="0" w:line="240" w:lineRule="auto"/>
        <w:rPr>
          <w:rFonts w:asciiTheme="minorEastAsia" w:eastAsiaTheme="minorEastAsia" w:hAnsiTheme="minorEastAsia" w:cstheme="minorEastAsia"/>
          <w:sz w:val="18"/>
          <w:szCs w:val="18"/>
        </w:rPr>
      </w:pPr>
      <w:bookmarkStart w:id="13" w:name="_Toc86413364"/>
      <w:r>
        <w:rPr>
          <w:rFonts w:asciiTheme="minorEastAsia" w:eastAsiaTheme="minorEastAsia" w:hAnsiTheme="minorEastAsia" w:cstheme="minorEastAsia" w:hint="eastAsia"/>
          <w:sz w:val="18"/>
          <w:szCs w:val="18"/>
        </w:rPr>
        <w:t>10.2.</w:t>
      </w:r>
      <w:r>
        <w:rPr>
          <w:rFonts w:asciiTheme="minorEastAsia" w:eastAsiaTheme="minorEastAsia" w:hAnsiTheme="minorEastAsia" w:cstheme="minorEastAsia" w:hint="eastAsia"/>
          <w:sz w:val="18"/>
          <w:szCs w:val="18"/>
        </w:rPr>
        <w:t>工作</w:t>
      </w:r>
      <w:bookmarkEnd w:id="12"/>
      <w:r>
        <w:rPr>
          <w:rFonts w:asciiTheme="minorEastAsia" w:eastAsiaTheme="minorEastAsia" w:hAnsiTheme="minorEastAsia" w:cstheme="minorEastAsia" w:hint="eastAsia"/>
          <w:sz w:val="18"/>
          <w:szCs w:val="18"/>
        </w:rPr>
        <w:t>逻辑</w:t>
      </w:r>
      <w:bookmarkEnd w:id="13"/>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充电桩正常待机时，可将充电枪插入汽车交流充电接口，并插到位，即可刷卡或扫码启动充电，由显示屏、指示灯判断充电状态，直至充电完成。</w:t>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14" w:name="_Toc86413365"/>
      <w:r>
        <w:rPr>
          <w:rFonts w:asciiTheme="minorEastAsia" w:eastAsiaTheme="minorEastAsia" w:hAnsiTheme="minorEastAsia" w:cstheme="minorEastAsia" w:hint="eastAsia"/>
          <w:sz w:val="18"/>
          <w:szCs w:val="18"/>
        </w:rPr>
        <w:t>11.</w:t>
      </w:r>
      <w:r>
        <w:rPr>
          <w:rFonts w:asciiTheme="minorEastAsia" w:eastAsiaTheme="minorEastAsia" w:hAnsiTheme="minorEastAsia" w:cstheme="minorEastAsia" w:hint="eastAsia"/>
          <w:sz w:val="18"/>
          <w:szCs w:val="18"/>
        </w:rPr>
        <w:t>各款充电桩使用说明</w:t>
      </w:r>
      <w:bookmarkEnd w:id="14"/>
    </w:p>
    <w:p w:rsidR="0088187C" w:rsidRDefault="007E6BCA">
      <w:pPr>
        <w:pStyle w:val="3"/>
        <w:spacing w:before="0" w:after="0" w:line="240" w:lineRule="auto"/>
        <w:rPr>
          <w:rFonts w:asciiTheme="minorEastAsia" w:eastAsiaTheme="minorEastAsia" w:hAnsiTheme="minorEastAsia" w:cstheme="minorEastAsia"/>
          <w:sz w:val="18"/>
          <w:szCs w:val="18"/>
        </w:rPr>
      </w:pPr>
      <w:bookmarkStart w:id="15" w:name="_Toc63255901"/>
      <w:bookmarkStart w:id="16" w:name="_Toc86413366"/>
      <w:r>
        <w:rPr>
          <w:rFonts w:asciiTheme="minorEastAsia" w:eastAsiaTheme="minorEastAsia" w:hAnsiTheme="minorEastAsia" w:cstheme="minorEastAsia" w:hint="eastAsia"/>
          <w:sz w:val="18"/>
          <w:szCs w:val="18"/>
        </w:rPr>
        <w:t>11.1</w:t>
      </w:r>
      <w:r>
        <w:rPr>
          <w:rFonts w:asciiTheme="minorEastAsia" w:eastAsiaTheme="minorEastAsia" w:hAnsiTheme="minorEastAsia" w:cstheme="minorEastAsia" w:hint="eastAsia"/>
          <w:sz w:val="18"/>
          <w:szCs w:val="18"/>
        </w:rPr>
        <w:t>插枪充</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即</w:t>
      </w:r>
      <w:r>
        <w:rPr>
          <w:rFonts w:asciiTheme="minorEastAsia" w:eastAsiaTheme="minorEastAsia" w:hAnsiTheme="minorEastAsia" w:cstheme="minorEastAsia" w:hint="eastAsia"/>
          <w:sz w:val="18"/>
          <w:szCs w:val="18"/>
        </w:rPr>
        <w:t>插即充</w:t>
      </w:r>
      <w:bookmarkEnd w:id="15"/>
      <w:r>
        <w:rPr>
          <w:rFonts w:asciiTheme="minorEastAsia" w:eastAsiaTheme="minorEastAsia" w:hAnsiTheme="minorEastAsia" w:cstheme="minorEastAsia" w:hint="eastAsia"/>
          <w:color w:val="FF0000"/>
          <w:sz w:val="18"/>
          <w:szCs w:val="18"/>
        </w:rPr>
        <w:t>（选配款）</w:t>
      </w:r>
      <w:bookmarkEnd w:id="16"/>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8"/>
          <w:szCs w:val="18"/>
        </w:rPr>
        <w:t>、将充电动汽车熄火、处于静止状态；</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、将充电枪插入电动汽车交流充电接口，并插到位。</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、充电桩则会自动检测，自动为车辆充电；</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r>
        <w:rPr>
          <w:rFonts w:asciiTheme="minorEastAsia" w:eastAsiaTheme="minorEastAsia" w:hAnsiTheme="minorEastAsia" w:cstheme="minorEastAsia" w:hint="eastAsia"/>
          <w:sz w:val="18"/>
          <w:szCs w:val="18"/>
        </w:rPr>
        <w:t>、充满电后指示灯变为绿色长亮，可以拔枪归位；</w:t>
      </w:r>
    </w:p>
    <w:p w:rsidR="0088187C" w:rsidRDefault="007E6BCA">
      <w:pPr>
        <w:pStyle w:val="3"/>
        <w:spacing w:before="0" w:after="0" w:line="240" w:lineRule="auto"/>
        <w:rPr>
          <w:rFonts w:asciiTheme="minorEastAsia" w:eastAsiaTheme="minorEastAsia" w:hAnsiTheme="minorEastAsia" w:cstheme="minorEastAsia"/>
          <w:sz w:val="18"/>
          <w:szCs w:val="18"/>
        </w:rPr>
      </w:pPr>
      <w:bookmarkStart w:id="17" w:name="_Toc86413367"/>
      <w:r>
        <w:rPr>
          <w:rFonts w:asciiTheme="minorEastAsia" w:eastAsiaTheme="minorEastAsia" w:hAnsiTheme="minorEastAsia" w:cstheme="minorEastAsia" w:hint="eastAsia"/>
          <w:sz w:val="18"/>
          <w:szCs w:val="18"/>
        </w:rPr>
        <w:t>11.2</w:t>
      </w:r>
      <w:r>
        <w:rPr>
          <w:rFonts w:asciiTheme="minorEastAsia" w:eastAsiaTheme="minorEastAsia" w:hAnsiTheme="minorEastAsia" w:cstheme="minorEastAsia" w:hint="eastAsia"/>
          <w:sz w:val="18"/>
          <w:szCs w:val="18"/>
        </w:rPr>
        <w:t>单机刷卡充电</w:t>
      </w:r>
      <w:r>
        <w:rPr>
          <w:rFonts w:asciiTheme="minorEastAsia" w:eastAsiaTheme="minorEastAsia" w:hAnsiTheme="minorEastAsia" w:cstheme="minorEastAsia" w:hint="eastAsia"/>
          <w:color w:val="FF0000"/>
          <w:sz w:val="18"/>
          <w:szCs w:val="18"/>
        </w:rPr>
        <w:t>（选配款）</w:t>
      </w:r>
      <w:bookmarkEnd w:id="17"/>
    </w:p>
    <w:p w:rsidR="0088187C" w:rsidRDefault="007E6BCA">
      <w:pPr>
        <w:pStyle w:val="af2"/>
        <w:numPr>
          <w:ilvl w:val="0"/>
          <w:numId w:val="2"/>
        </w:numPr>
        <w:ind w:left="0" w:firstLineChars="0" w:firstLine="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充电桩待机界面如下图：</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插枪后显示界面如下图：</w:t>
      </w:r>
    </w:p>
    <w:p w:rsidR="0088187C" w:rsidRDefault="007E6BCA">
      <w:pPr>
        <w:jc w:val="left"/>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noProof/>
          <w:sz w:val="18"/>
          <w:szCs w:val="18"/>
        </w:rPr>
        <w:drawing>
          <wp:inline distT="0" distB="0" distL="0" distR="0">
            <wp:extent cx="2136140" cy="1239520"/>
            <wp:effectExtent l="0" t="0" r="16510" b="1778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12" cstate="print"/>
                    <a:srcRect/>
                    <a:stretch>
                      <a:fillRect/>
                    </a:stretch>
                  </pic:blipFill>
                  <pic:spPr>
                    <a:xfrm>
                      <a:off x="0" y="0"/>
                      <a:ext cx="2136140" cy="1239520"/>
                    </a:xfrm>
                    <a:prstGeom prst="rect">
                      <a:avLst/>
                    </a:prstGeom>
                    <a:noFill/>
                    <a:ln w="9525">
                      <a:noFill/>
                      <a:miter lim="800000"/>
                      <a:headEnd/>
                      <a:tailEnd/>
                    </a:ln>
                  </pic:spPr>
                </pic:pic>
              </a:graphicData>
            </a:graphic>
          </wp:inline>
        </w:drawing>
      </w:r>
      <w:r>
        <w:rPr>
          <w:rFonts w:asciiTheme="minorEastAsia" w:eastAsiaTheme="minorEastAsia" w:hAnsiTheme="minorEastAsia" w:cstheme="minorEastAsia" w:hint="eastAsia"/>
          <w:noProof/>
          <w:sz w:val="18"/>
          <w:szCs w:val="18"/>
        </w:rPr>
        <w:drawing>
          <wp:inline distT="0" distB="0" distL="0" distR="0">
            <wp:extent cx="2167255" cy="1250950"/>
            <wp:effectExtent l="0" t="0" r="4445" b="635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noChangeArrowheads="1"/>
                    </pic:cNvPicPr>
                  </pic:nvPicPr>
                  <pic:blipFill>
                    <a:blip r:embed="rId13" cstate="print"/>
                    <a:srcRect/>
                    <a:stretch>
                      <a:fillRect/>
                    </a:stretch>
                  </pic:blipFill>
                  <pic:spPr>
                    <a:xfrm>
                      <a:off x="0" y="0"/>
                      <a:ext cx="2167255" cy="1250950"/>
                    </a:xfrm>
                    <a:prstGeom prst="rect">
                      <a:avLst/>
                    </a:prstGeom>
                    <a:noFill/>
                    <a:ln w="9525">
                      <a:noFill/>
                      <a:miter lim="800000"/>
                      <a:headEnd/>
                      <a:tailEnd/>
                    </a:ln>
                  </pic:spPr>
                </pic:pic>
              </a:graphicData>
            </a:graphic>
          </wp:inline>
        </w:drawing>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）按提示刷卡充电，屏幕会跳转至如下界面：</w:t>
      </w:r>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0" distR="0">
            <wp:extent cx="2259330" cy="1318260"/>
            <wp:effectExtent l="0" t="0" r="7620" b="1524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14" cstate="print"/>
                    <a:srcRect/>
                    <a:stretch>
                      <a:fillRect/>
                    </a:stretch>
                  </pic:blipFill>
                  <pic:spPr>
                    <a:xfrm>
                      <a:off x="0" y="0"/>
                      <a:ext cx="2259330" cy="1318260"/>
                    </a:xfrm>
                    <a:prstGeom prst="rect">
                      <a:avLst/>
                    </a:prstGeom>
                    <a:noFill/>
                    <a:ln w="9525">
                      <a:noFill/>
                      <a:miter lim="800000"/>
                      <a:headEnd/>
                      <a:tailEnd/>
                    </a:ln>
                  </pic:spPr>
                </pic:pic>
              </a:graphicData>
            </a:graphic>
          </wp:inline>
        </w:drawing>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4</w:t>
      </w:r>
      <w:r>
        <w:rPr>
          <w:rFonts w:asciiTheme="minorEastAsia" w:eastAsiaTheme="minorEastAsia" w:hAnsiTheme="minorEastAsia" w:cstheme="minorEastAsia" w:hint="eastAsia"/>
          <w:sz w:val="18"/>
          <w:szCs w:val="18"/>
        </w:rPr>
        <w:t>）刷卡响应完毕，充电桩随即开启充电，显示界面如下图：</w:t>
      </w:r>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lastRenderedPageBreak/>
        <w:drawing>
          <wp:inline distT="0" distB="0" distL="0" distR="0">
            <wp:extent cx="2218055" cy="1264285"/>
            <wp:effectExtent l="0" t="0" r="10795" b="120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srcRect/>
                    <a:stretch>
                      <a:fillRect/>
                    </a:stretch>
                  </pic:blipFill>
                  <pic:spPr>
                    <a:xfrm>
                      <a:off x="0" y="0"/>
                      <a:ext cx="2218055" cy="1264285"/>
                    </a:xfrm>
                    <a:prstGeom prst="rect">
                      <a:avLst/>
                    </a:prstGeom>
                    <a:noFill/>
                    <a:ln w="9525">
                      <a:noFill/>
                      <a:miter lim="800000"/>
                      <a:headEnd/>
                      <a:tailEnd/>
                    </a:ln>
                  </pic:spPr>
                </pic:pic>
              </a:graphicData>
            </a:graphic>
          </wp:inline>
        </w:drawing>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5</w:t>
      </w:r>
      <w:r>
        <w:rPr>
          <w:rFonts w:asciiTheme="minorEastAsia" w:eastAsiaTheme="minorEastAsia" w:hAnsiTheme="minorEastAsia" w:cstheme="minorEastAsia" w:hint="eastAsia"/>
          <w:sz w:val="18"/>
          <w:szCs w:val="18"/>
        </w:rPr>
        <w:t>）需终止充时，再次刷卡，结算界面如下图：</w:t>
      </w:r>
    </w:p>
    <w:p w:rsidR="0088187C" w:rsidRDefault="007E6BCA">
      <w:pPr>
        <w:jc w:val="center"/>
        <w:rPr>
          <w:rFonts w:asciiTheme="minorEastAsia" w:eastAsiaTheme="minorEastAsia" w:hAnsiTheme="minorEastAsia" w:cstheme="minorEastAsia"/>
          <w:sz w:val="18"/>
          <w:szCs w:val="18"/>
        </w:rPr>
      </w:pPr>
      <w:bookmarkStart w:id="18" w:name="_Toc49797792"/>
      <w:bookmarkStart w:id="19" w:name="_Toc49797520"/>
      <w:r>
        <w:rPr>
          <w:rFonts w:asciiTheme="minorEastAsia" w:eastAsiaTheme="minorEastAsia" w:hAnsiTheme="minorEastAsia" w:cstheme="minorEastAsia" w:hint="eastAsia"/>
          <w:noProof/>
          <w:sz w:val="18"/>
          <w:szCs w:val="18"/>
        </w:rPr>
        <w:drawing>
          <wp:inline distT="0" distB="0" distL="0" distR="0">
            <wp:extent cx="2297430" cy="1301115"/>
            <wp:effectExtent l="0" t="0" r="762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6" cstate="print"/>
                    <a:srcRect/>
                    <a:stretch>
                      <a:fillRect/>
                    </a:stretch>
                  </pic:blipFill>
                  <pic:spPr>
                    <a:xfrm>
                      <a:off x="0" y="0"/>
                      <a:ext cx="2297430" cy="1301115"/>
                    </a:xfrm>
                    <a:prstGeom prst="rect">
                      <a:avLst/>
                    </a:prstGeom>
                    <a:noFill/>
                    <a:ln w="9525">
                      <a:noFill/>
                      <a:miter lim="800000"/>
                      <a:headEnd/>
                      <a:tailEnd/>
                    </a:ln>
                  </pic:spPr>
                </pic:pic>
              </a:graphicData>
            </a:graphic>
          </wp:inline>
        </w:drawing>
      </w:r>
    </w:p>
    <w:p w:rsidR="0088187C" w:rsidRDefault="007E6BCA">
      <w:pPr>
        <w:pStyle w:val="3"/>
        <w:spacing w:before="0" w:after="0" w:line="240" w:lineRule="auto"/>
        <w:rPr>
          <w:rFonts w:asciiTheme="minorEastAsia" w:eastAsiaTheme="minorEastAsia" w:hAnsiTheme="minorEastAsia" w:cstheme="minorEastAsia"/>
          <w:sz w:val="18"/>
          <w:szCs w:val="18"/>
        </w:rPr>
      </w:pPr>
      <w:bookmarkStart w:id="20" w:name="_Toc86413368"/>
      <w:r>
        <w:rPr>
          <w:rFonts w:asciiTheme="minorEastAsia" w:eastAsiaTheme="minorEastAsia" w:hAnsiTheme="minorEastAsia" w:cstheme="minorEastAsia" w:hint="eastAsia"/>
          <w:sz w:val="18"/>
          <w:szCs w:val="18"/>
        </w:rPr>
        <w:t>11.3</w:t>
      </w:r>
      <w:r>
        <w:rPr>
          <w:rFonts w:asciiTheme="minorEastAsia" w:eastAsiaTheme="minorEastAsia" w:hAnsiTheme="minorEastAsia" w:cstheme="minorEastAsia" w:hint="eastAsia"/>
          <w:sz w:val="18"/>
          <w:szCs w:val="18"/>
        </w:rPr>
        <w:t>联网扫码充电</w:t>
      </w:r>
      <w:r>
        <w:rPr>
          <w:rFonts w:asciiTheme="minorEastAsia" w:eastAsiaTheme="minorEastAsia" w:hAnsiTheme="minorEastAsia" w:cstheme="minorEastAsia" w:hint="eastAsia"/>
          <w:color w:val="FF0000"/>
          <w:sz w:val="18"/>
          <w:szCs w:val="18"/>
        </w:rPr>
        <w:t>（选配款）</w:t>
      </w:r>
      <w:bookmarkEnd w:id="20"/>
    </w:p>
    <w:p w:rsidR="0088187C" w:rsidRDefault="007E6BCA">
      <w:pPr>
        <w:ind w:left="720" w:hangingChars="400" w:hanging="72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8"/>
          <w:szCs w:val="18"/>
        </w:rPr>
        <w:t>）充电桩待机界面如下图：</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插枪后显示界面如下图：</w:t>
      </w:r>
      <w:r>
        <w:rPr>
          <w:rFonts w:asciiTheme="minorEastAsia" w:eastAsiaTheme="minorEastAsia" w:hAnsiTheme="minorEastAsia" w:cstheme="minorEastAsia" w:hint="eastAsia"/>
          <w:noProof/>
          <w:sz w:val="18"/>
          <w:szCs w:val="18"/>
        </w:rPr>
        <w:drawing>
          <wp:inline distT="0" distB="0" distL="0" distR="0">
            <wp:extent cx="2287270" cy="1331595"/>
            <wp:effectExtent l="0" t="0" r="1778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cstate="print"/>
                    <a:srcRect/>
                    <a:stretch>
                      <a:fillRect/>
                    </a:stretch>
                  </pic:blipFill>
                  <pic:spPr>
                    <a:xfrm>
                      <a:off x="0" y="0"/>
                      <a:ext cx="2287270" cy="1331595"/>
                    </a:xfrm>
                    <a:prstGeom prst="rect">
                      <a:avLst/>
                    </a:prstGeom>
                    <a:noFill/>
                    <a:ln w="9525">
                      <a:noFill/>
                      <a:miter lim="800000"/>
                      <a:headEnd/>
                      <a:tailEnd/>
                    </a:ln>
                  </pic:spPr>
                </pic:pic>
              </a:graphicData>
            </a:graphic>
          </wp:inline>
        </w:drawing>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noProof/>
          <w:sz w:val="18"/>
          <w:szCs w:val="18"/>
        </w:rPr>
        <w:drawing>
          <wp:inline distT="0" distB="0" distL="0" distR="0">
            <wp:extent cx="2261870" cy="1310005"/>
            <wp:effectExtent l="0" t="0" r="508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8" cstate="print"/>
                    <a:srcRect/>
                    <a:stretch>
                      <a:fillRect/>
                    </a:stretch>
                  </pic:blipFill>
                  <pic:spPr>
                    <a:xfrm>
                      <a:off x="0" y="0"/>
                      <a:ext cx="2261870" cy="1310005"/>
                    </a:xfrm>
                    <a:prstGeom prst="rect">
                      <a:avLst/>
                    </a:prstGeom>
                    <a:noFill/>
                    <a:ln w="9525">
                      <a:noFill/>
                      <a:miter lim="800000"/>
                      <a:headEnd/>
                      <a:tailEnd/>
                    </a:ln>
                  </pic:spPr>
                </pic:pic>
              </a:graphicData>
            </a:graphic>
          </wp:inline>
        </w:drawing>
      </w:r>
    </w:p>
    <w:p w:rsidR="0088187C" w:rsidRDefault="0088187C">
      <w:pPr>
        <w:rPr>
          <w:rFonts w:asciiTheme="minorEastAsia" w:eastAsiaTheme="minorEastAsia" w:hAnsiTheme="minorEastAsia" w:cstheme="minorEastAsia"/>
          <w:sz w:val="18"/>
          <w:szCs w:val="18"/>
        </w:rPr>
      </w:pP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）扫码开启充电，屏幕会跳转至充电界面，如下图：</w:t>
      </w:r>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0" distR="0">
            <wp:extent cx="2352040" cy="1325880"/>
            <wp:effectExtent l="0" t="0" r="1016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cstate="print"/>
                    <a:srcRect/>
                    <a:stretch>
                      <a:fillRect/>
                    </a:stretch>
                  </pic:blipFill>
                  <pic:spPr>
                    <a:xfrm>
                      <a:off x="0" y="0"/>
                      <a:ext cx="2352040" cy="1325880"/>
                    </a:xfrm>
                    <a:prstGeom prst="rect">
                      <a:avLst/>
                    </a:prstGeom>
                    <a:noFill/>
                    <a:ln w="9525">
                      <a:noFill/>
                      <a:miter lim="800000"/>
                      <a:headEnd/>
                      <a:tailEnd/>
                    </a:ln>
                  </pic:spPr>
                </pic:pic>
              </a:graphicData>
            </a:graphic>
          </wp:inline>
        </w:drawing>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4</w:t>
      </w:r>
      <w:r>
        <w:rPr>
          <w:rFonts w:asciiTheme="minorEastAsia" w:eastAsiaTheme="minorEastAsia" w:hAnsiTheme="minorEastAsia" w:cstheme="minorEastAsia" w:hint="eastAsia"/>
          <w:sz w:val="18"/>
          <w:szCs w:val="18"/>
        </w:rPr>
        <w:t>）终端结束充电，屏幕会跳转至结算界面。如下图：</w:t>
      </w:r>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0" distR="0">
            <wp:extent cx="2172335" cy="1214120"/>
            <wp:effectExtent l="0" t="0" r="18415"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0" cstate="print"/>
                    <a:srcRect/>
                    <a:stretch>
                      <a:fillRect/>
                    </a:stretch>
                  </pic:blipFill>
                  <pic:spPr>
                    <a:xfrm>
                      <a:off x="0" y="0"/>
                      <a:ext cx="2172335" cy="1214120"/>
                    </a:xfrm>
                    <a:prstGeom prst="rect">
                      <a:avLst/>
                    </a:prstGeom>
                    <a:noFill/>
                    <a:ln w="9525">
                      <a:noFill/>
                      <a:miter lim="800000"/>
                      <a:headEnd/>
                      <a:tailEnd/>
                    </a:ln>
                  </pic:spPr>
                </pic:pic>
              </a:graphicData>
            </a:graphic>
          </wp:inline>
        </w:drawing>
      </w:r>
    </w:p>
    <w:p w:rsidR="0088187C" w:rsidRDefault="007E6BCA">
      <w:pPr>
        <w:pStyle w:val="3"/>
        <w:spacing w:before="0" w:after="0" w:line="240" w:lineRule="auto"/>
        <w:rPr>
          <w:rFonts w:asciiTheme="minorEastAsia" w:eastAsiaTheme="minorEastAsia" w:hAnsiTheme="minorEastAsia" w:cstheme="minorEastAsia"/>
          <w:sz w:val="18"/>
          <w:szCs w:val="18"/>
        </w:rPr>
      </w:pPr>
      <w:bookmarkStart w:id="21" w:name="_Toc86413369"/>
      <w:r>
        <w:rPr>
          <w:rFonts w:asciiTheme="minorEastAsia" w:eastAsiaTheme="minorEastAsia" w:hAnsiTheme="minorEastAsia" w:cstheme="minorEastAsia" w:hint="eastAsia"/>
          <w:sz w:val="18"/>
          <w:szCs w:val="18"/>
        </w:rPr>
        <w:t>11.4</w:t>
      </w:r>
      <w:r>
        <w:rPr>
          <w:rFonts w:asciiTheme="minorEastAsia" w:eastAsiaTheme="minorEastAsia" w:hAnsiTheme="minorEastAsia" w:cstheme="minorEastAsia" w:hint="eastAsia"/>
          <w:sz w:val="18"/>
          <w:szCs w:val="18"/>
        </w:rPr>
        <w:t>充电桩指示灯定义</w:t>
      </w:r>
      <w:bookmarkEnd w:id="21"/>
    </w:p>
    <w:tbl>
      <w:tblPr>
        <w:tblStyle w:val="ad"/>
        <w:tblW w:w="4981" w:type="pct"/>
        <w:tblLook w:val="04A0"/>
      </w:tblPr>
      <w:tblGrid>
        <w:gridCol w:w="810"/>
        <w:gridCol w:w="1556"/>
        <w:gridCol w:w="1556"/>
        <w:gridCol w:w="1551"/>
        <w:gridCol w:w="1551"/>
        <w:gridCol w:w="1472"/>
      </w:tblGrid>
      <w:tr w:rsidR="0088187C">
        <w:trPr>
          <w:trHeight w:val="524"/>
        </w:trPr>
        <w:tc>
          <w:tcPr>
            <w:tcW w:w="477" w:type="pct"/>
            <w:vAlign w:val="center"/>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序号</w:t>
            </w:r>
          </w:p>
        </w:tc>
        <w:tc>
          <w:tcPr>
            <w:tcW w:w="915" w:type="pct"/>
            <w:vAlign w:val="center"/>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充电桩状态</w:t>
            </w:r>
          </w:p>
        </w:tc>
        <w:tc>
          <w:tcPr>
            <w:tcW w:w="915"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待机</w:t>
            </w:r>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（蓝灯）</w:t>
            </w:r>
          </w:p>
        </w:tc>
        <w:tc>
          <w:tcPr>
            <w:tcW w:w="912"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A</w:t>
            </w:r>
            <w:r>
              <w:rPr>
                <w:rFonts w:asciiTheme="minorEastAsia" w:eastAsiaTheme="minorEastAsia" w:hAnsiTheme="minorEastAsia" w:cstheme="minorEastAsia" w:hint="eastAsia"/>
                <w:sz w:val="18"/>
                <w:szCs w:val="18"/>
              </w:rPr>
              <w:t>枪</w:t>
            </w:r>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（绿灯）</w:t>
            </w:r>
          </w:p>
        </w:tc>
        <w:tc>
          <w:tcPr>
            <w:tcW w:w="912"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B</w:t>
            </w:r>
            <w:r>
              <w:rPr>
                <w:rFonts w:asciiTheme="minorEastAsia" w:eastAsiaTheme="minorEastAsia" w:hAnsiTheme="minorEastAsia" w:cstheme="minorEastAsia" w:hint="eastAsia"/>
                <w:sz w:val="18"/>
                <w:szCs w:val="18"/>
              </w:rPr>
              <w:t>枪</w:t>
            </w:r>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（绿灯）</w:t>
            </w:r>
          </w:p>
        </w:tc>
        <w:tc>
          <w:tcPr>
            <w:tcW w:w="865"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故障</w:t>
            </w:r>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（红灯）</w:t>
            </w:r>
          </w:p>
        </w:tc>
      </w:tr>
      <w:tr w:rsidR="0088187C">
        <w:trPr>
          <w:trHeight w:val="299"/>
        </w:trPr>
        <w:tc>
          <w:tcPr>
            <w:tcW w:w="477"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915"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电源电示灯</w:t>
            </w:r>
          </w:p>
        </w:tc>
        <w:tc>
          <w:tcPr>
            <w:tcW w:w="915" w:type="pct"/>
            <w:vMerge w:val="restart"/>
            <w:vAlign w:val="center"/>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蓝灯常亮</w:t>
            </w:r>
          </w:p>
        </w:tc>
        <w:tc>
          <w:tcPr>
            <w:tcW w:w="912" w:type="pct"/>
            <w:tcBorders>
              <w:bottom w:val="single" w:sz="4" w:space="0" w:color="auto"/>
              <w:tl2br w:val="single" w:sz="4" w:space="0" w:color="auto"/>
            </w:tcBorders>
          </w:tcPr>
          <w:p w:rsidR="0088187C" w:rsidRDefault="0088187C">
            <w:pPr>
              <w:jc w:val="center"/>
              <w:rPr>
                <w:rFonts w:asciiTheme="minorEastAsia" w:eastAsiaTheme="minorEastAsia" w:hAnsiTheme="minorEastAsia" w:cstheme="minorEastAsia"/>
                <w:sz w:val="18"/>
                <w:szCs w:val="18"/>
              </w:rPr>
            </w:pPr>
          </w:p>
        </w:tc>
        <w:tc>
          <w:tcPr>
            <w:tcW w:w="912" w:type="pct"/>
            <w:tcBorders>
              <w:bottom w:val="single" w:sz="4" w:space="0" w:color="auto"/>
              <w:tl2br w:val="single" w:sz="4" w:space="0" w:color="auto"/>
            </w:tcBorders>
          </w:tcPr>
          <w:p w:rsidR="0088187C" w:rsidRDefault="0088187C">
            <w:pPr>
              <w:jc w:val="center"/>
              <w:rPr>
                <w:rFonts w:asciiTheme="minorEastAsia" w:eastAsiaTheme="minorEastAsia" w:hAnsiTheme="minorEastAsia" w:cstheme="minorEastAsia"/>
                <w:sz w:val="18"/>
                <w:szCs w:val="18"/>
              </w:rPr>
            </w:pPr>
          </w:p>
        </w:tc>
        <w:tc>
          <w:tcPr>
            <w:tcW w:w="865" w:type="pct"/>
            <w:tcBorders>
              <w:tl2br w:val="single" w:sz="4" w:space="0" w:color="auto"/>
            </w:tcBorders>
          </w:tcPr>
          <w:p w:rsidR="0088187C" w:rsidRDefault="0088187C">
            <w:pPr>
              <w:jc w:val="center"/>
              <w:rPr>
                <w:rFonts w:asciiTheme="minorEastAsia" w:eastAsiaTheme="minorEastAsia" w:hAnsiTheme="minorEastAsia" w:cstheme="minorEastAsia"/>
                <w:sz w:val="18"/>
                <w:szCs w:val="18"/>
              </w:rPr>
            </w:pPr>
          </w:p>
        </w:tc>
      </w:tr>
      <w:tr w:rsidR="0088187C">
        <w:trPr>
          <w:trHeight w:val="299"/>
        </w:trPr>
        <w:tc>
          <w:tcPr>
            <w:tcW w:w="477"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915"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A/B</w:t>
            </w:r>
            <w:r>
              <w:rPr>
                <w:rFonts w:asciiTheme="minorEastAsia" w:eastAsiaTheme="minorEastAsia" w:hAnsiTheme="minorEastAsia" w:cstheme="minorEastAsia" w:hint="eastAsia"/>
                <w:sz w:val="18"/>
                <w:szCs w:val="18"/>
              </w:rPr>
              <w:t>已插枪</w:t>
            </w:r>
          </w:p>
        </w:tc>
        <w:tc>
          <w:tcPr>
            <w:tcW w:w="915" w:type="pct"/>
            <w:vMerge/>
            <w:tcBorders>
              <w:right w:val="single" w:sz="4" w:space="0" w:color="auto"/>
            </w:tcBorders>
            <w:vAlign w:val="center"/>
          </w:tcPr>
          <w:p w:rsidR="0088187C" w:rsidRDefault="0088187C">
            <w:pPr>
              <w:jc w:val="center"/>
              <w:rPr>
                <w:rFonts w:asciiTheme="minorEastAsia" w:eastAsiaTheme="minorEastAsia" w:hAnsiTheme="minorEastAsia" w:cstheme="minorEastAsia"/>
                <w:sz w:val="18"/>
                <w:szCs w:val="18"/>
              </w:rPr>
            </w:pPr>
          </w:p>
        </w:tc>
        <w:tc>
          <w:tcPr>
            <w:tcW w:w="912" w:type="pct"/>
            <w:tcBorders>
              <w:top w:val="single" w:sz="4" w:space="0" w:color="auto"/>
              <w:left w:val="single" w:sz="4" w:space="0" w:color="auto"/>
              <w:bottom w:val="single" w:sz="4" w:space="0" w:color="auto"/>
              <w:right w:val="single" w:sz="4" w:space="0" w:color="auto"/>
              <w:tl2br w:val="nil"/>
            </w:tcBorders>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绿灯常亮</w:t>
            </w:r>
          </w:p>
        </w:tc>
        <w:tc>
          <w:tcPr>
            <w:tcW w:w="912" w:type="pct"/>
            <w:tcBorders>
              <w:top w:val="single" w:sz="4" w:space="0" w:color="auto"/>
              <w:left w:val="single" w:sz="4" w:space="0" w:color="auto"/>
              <w:bottom w:val="single" w:sz="4" w:space="0" w:color="auto"/>
              <w:right w:val="single" w:sz="4" w:space="0" w:color="auto"/>
              <w:tl2br w:val="nil"/>
            </w:tcBorders>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绿灯常亮</w:t>
            </w:r>
          </w:p>
        </w:tc>
        <w:tc>
          <w:tcPr>
            <w:tcW w:w="865" w:type="pct"/>
            <w:tcBorders>
              <w:left w:val="single" w:sz="4" w:space="0" w:color="auto"/>
              <w:tl2br w:val="single" w:sz="4" w:space="0" w:color="auto"/>
            </w:tcBorders>
          </w:tcPr>
          <w:p w:rsidR="0088187C" w:rsidRDefault="0088187C">
            <w:pPr>
              <w:jc w:val="center"/>
              <w:rPr>
                <w:rFonts w:asciiTheme="minorEastAsia" w:eastAsiaTheme="minorEastAsia" w:hAnsiTheme="minorEastAsia" w:cstheme="minorEastAsia"/>
                <w:sz w:val="18"/>
                <w:szCs w:val="18"/>
              </w:rPr>
            </w:pPr>
          </w:p>
        </w:tc>
      </w:tr>
      <w:tr w:rsidR="0088187C">
        <w:trPr>
          <w:trHeight w:val="290"/>
        </w:trPr>
        <w:tc>
          <w:tcPr>
            <w:tcW w:w="477"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w:t>
            </w:r>
          </w:p>
        </w:tc>
        <w:tc>
          <w:tcPr>
            <w:tcW w:w="915"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xml:space="preserve">A </w:t>
            </w:r>
            <w:r>
              <w:rPr>
                <w:rFonts w:asciiTheme="minorEastAsia" w:eastAsiaTheme="minorEastAsia" w:hAnsiTheme="minorEastAsia" w:cstheme="minorEastAsia" w:hint="eastAsia"/>
                <w:sz w:val="18"/>
                <w:szCs w:val="18"/>
              </w:rPr>
              <w:t>枪充电中</w:t>
            </w:r>
          </w:p>
        </w:tc>
        <w:tc>
          <w:tcPr>
            <w:tcW w:w="915" w:type="pct"/>
            <w:vMerge/>
          </w:tcPr>
          <w:p w:rsidR="0088187C" w:rsidRDefault="0088187C">
            <w:pPr>
              <w:jc w:val="center"/>
              <w:rPr>
                <w:rFonts w:asciiTheme="minorEastAsia" w:eastAsiaTheme="minorEastAsia" w:hAnsiTheme="minorEastAsia" w:cstheme="minorEastAsia"/>
                <w:sz w:val="18"/>
                <w:szCs w:val="18"/>
              </w:rPr>
            </w:pPr>
          </w:p>
        </w:tc>
        <w:tc>
          <w:tcPr>
            <w:tcW w:w="912" w:type="pct"/>
            <w:tcBorders>
              <w:top w:val="single" w:sz="4" w:space="0" w:color="auto"/>
            </w:tcBorders>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绿灯闪烁</w:t>
            </w:r>
          </w:p>
        </w:tc>
        <w:tc>
          <w:tcPr>
            <w:tcW w:w="912" w:type="pct"/>
            <w:tcBorders>
              <w:top w:val="single" w:sz="4" w:space="0" w:color="auto"/>
              <w:tl2br w:val="single" w:sz="4" w:space="0" w:color="auto"/>
            </w:tcBorders>
          </w:tcPr>
          <w:p w:rsidR="0088187C" w:rsidRDefault="0088187C">
            <w:pPr>
              <w:jc w:val="center"/>
              <w:rPr>
                <w:rFonts w:asciiTheme="minorEastAsia" w:eastAsiaTheme="minorEastAsia" w:hAnsiTheme="minorEastAsia" w:cstheme="minorEastAsia"/>
                <w:sz w:val="18"/>
                <w:szCs w:val="18"/>
              </w:rPr>
            </w:pPr>
          </w:p>
        </w:tc>
        <w:tc>
          <w:tcPr>
            <w:tcW w:w="865" w:type="pct"/>
            <w:tcBorders>
              <w:tl2br w:val="single" w:sz="4" w:space="0" w:color="auto"/>
            </w:tcBorders>
          </w:tcPr>
          <w:p w:rsidR="0088187C" w:rsidRDefault="0088187C">
            <w:pPr>
              <w:jc w:val="center"/>
              <w:rPr>
                <w:rFonts w:asciiTheme="minorEastAsia" w:eastAsiaTheme="minorEastAsia" w:hAnsiTheme="minorEastAsia" w:cstheme="minorEastAsia"/>
                <w:sz w:val="18"/>
                <w:szCs w:val="18"/>
              </w:rPr>
            </w:pPr>
          </w:p>
        </w:tc>
      </w:tr>
      <w:tr w:rsidR="0088187C">
        <w:trPr>
          <w:trHeight w:val="290"/>
        </w:trPr>
        <w:tc>
          <w:tcPr>
            <w:tcW w:w="477"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915"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B</w:t>
            </w:r>
            <w:r>
              <w:rPr>
                <w:rFonts w:asciiTheme="minorEastAsia" w:eastAsiaTheme="minorEastAsia" w:hAnsiTheme="minorEastAsia" w:cstheme="minorEastAsia" w:hint="eastAsia"/>
                <w:sz w:val="18"/>
                <w:szCs w:val="18"/>
              </w:rPr>
              <w:t>枪充电中</w:t>
            </w:r>
          </w:p>
        </w:tc>
        <w:tc>
          <w:tcPr>
            <w:tcW w:w="915" w:type="pct"/>
            <w:vMerge/>
          </w:tcPr>
          <w:p w:rsidR="0088187C" w:rsidRDefault="0088187C">
            <w:pPr>
              <w:jc w:val="center"/>
              <w:rPr>
                <w:rFonts w:asciiTheme="minorEastAsia" w:eastAsiaTheme="minorEastAsia" w:hAnsiTheme="minorEastAsia" w:cstheme="minorEastAsia"/>
                <w:sz w:val="18"/>
                <w:szCs w:val="18"/>
              </w:rPr>
            </w:pPr>
          </w:p>
        </w:tc>
        <w:tc>
          <w:tcPr>
            <w:tcW w:w="912" w:type="pct"/>
            <w:tcBorders>
              <w:tl2br w:val="single" w:sz="4" w:space="0" w:color="auto"/>
            </w:tcBorders>
          </w:tcPr>
          <w:p w:rsidR="0088187C" w:rsidRDefault="0088187C">
            <w:pPr>
              <w:jc w:val="center"/>
              <w:rPr>
                <w:rFonts w:asciiTheme="minorEastAsia" w:eastAsiaTheme="minorEastAsia" w:hAnsiTheme="minorEastAsia" w:cstheme="minorEastAsia"/>
                <w:sz w:val="18"/>
                <w:szCs w:val="18"/>
              </w:rPr>
            </w:pPr>
          </w:p>
        </w:tc>
        <w:tc>
          <w:tcPr>
            <w:tcW w:w="912"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绿灯闪烁</w:t>
            </w:r>
          </w:p>
        </w:tc>
        <w:tc>
          <w:tcPr>
            <w:tcW w:w="865" w:type="pct"/>
            <w:tcBorders>
              <w:tl2br w:val="single" w:sz="4" w:space="0" w:color="auto"/>
            </w:tcBorders>
          </w:tcPr>
          <w:p w:rsidR="0088187C" w:rsidRDefault="0088187C">
            <w:pPr>
              <w:jc w:val="center"/>
              <w:rPr>
                <w:rFonts w:asciiTheme="minorEastAsia" w:eastAsiaTheme="minorEastAsia" w:hAnsiTheme="minorEastAsia" w:cstheme="minorEastAsia"/>
                <w:sz w:val="18"/>
                <w:szCs w:val="18"/>
              </w:rPr>
            </w:pPr>
          </w:p>
        </w:tc>
      </w:tr>
      <w:tr w:rsidR="0088187C">
        <w:trPr>
          <w:trHeight w:val="298"/>
        </w:trPr>
        <w:tc>
          <w:tcPr>
            <w:tcW w:w="477"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5</w:t>
            </w:r>
          </w:p>
        </w:tc>
        <w:tc>
          <w:tcPr>
            <w:tcW w:w="915"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故</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障</w:t>
            </w:r>
          </w:p>
        </w:tc>
        <w:tc>
          <w:tcPr>
            <w:tcW w:w="915" w:type="pct"/>
            <w:vMerge/>
          </w:tcPr>
          <w:p w:rsidR="0088187C" w:rsidRDefault="0088187C">
            <w:pPr>
              <w:jc w:val="center"/>
              <w:rPr>
                <w:rFonts w:asciiTheme="minorEastAsia" w:eastAsiaTheme="minorEastAsia" w:hAnsiTheme="minorEastAsia" w:cstheme="minorEastAsia"/>
                <w:sz w:val="18"/>
                <w:szCs w:val="18"/>
              </w:rPr>
            </w:pPr>
          </w:p>
        </w:tc>
        <w:tc>
          <w:tcPr>
            <w:tcW w:w="912" w:type="pct"/>
            <w:tcBorders>
              <w:tl2br w:val="single" w:sz="4" w:space="0" w:color="auto"/>
            </w:tcBorders>
          </w:tcPr>
          <w:p w:rsidR="0088187C" w:rsidRDefault="0088187C">
            <w:pPr>
              <w:jc w:val="center"/>
              <w:rPr>
                <w:rFonts w:asciiTheme="minorEastAsia" w:eastAsiaTheme="minorEastAsia" w:hAnsiTheme="minorEastAsia" w:cstheme="minorEastAsia"/>
                <w:sz w:val="18"/>
                <w:szCs w:val="18"/>
              </w:rPr>
            </w:pPr>
          </w:p>
        </w:tc>
        <w:tc>
          <w:tcPr>
            <w:tcW w:w="912" w:type="pct"/>
            <w:tcBorders>
              <w:tl2br w:val="single" w:sz="4" w:space="0" w:color="auto"/>
            </w:tcBorders>
          </w:tcPr>
          <w:p w:rsidR="0088187C" w:rsidRDefault="0088187C">
            <w:pPr>
              <w:jc w:val="center"/>
              <w:rPr>
                <w:rFonts w:asciiTheme="minorEastAsia" w:eastAsiaTheme="minorEastAsia" w:hAnsiTheme="minorEastAsia" w:cstheme="minorEastAsia"/>
                <w:sz w:val="18"/>
                <w:szCs w:val="18"/>
              </w:rPr>
            </w:pPr>
          </w:p>
        </w:tc>
        <w:tc>
          <w:tcPr>
            <w:tcW w:w="865" w:type="pct"/>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红灯闪烁</w:t>
            </w:r>
          </w:p>
        </w:tc>
      </w:tr>
    </w:tbl>
    <w:p w:rsidR="0088187C" w:rsidRDefault="007E6BCA">
      <w:pPr>
        <w:pStyle w:val="3"/>
        <w:spacing w:before="0" w:after="0" w:line="240" w:lineRule="auto"/>
        <w:rPr>
          <w:rFonts w:asciiTheme="minorEastAsia" w:eastAsiaTheme="minorEastAsia" w:hAnsiTheme="minorEastAsia" w:cstheme="minorEastAsia"/>
          <w:sz w:val="18"/>
          <w:szCs w:val="18"/>
        </w:rPr>
      </w:pPr>
      <w:bookmarkStart w:id="22" w:name="_Toc86413370"/>
      <w:bookmarkEnd w:id="18"/>
      <w:bookmarkEnd w:id="19"/>
      <w:r>
        <w:rPr>
          <w:rFonts w:asciiTheme="minorEastAsia" w:eastAsiaTheme="minorEastAsia" w:hAnsiTheme="minorEastAsia" w:cstheme="minorEastAsia" w:hint="eastAsia"/>
          <w:sz w:val="18"/>
          <w:szCs w:val="18"/>
        </w:rPr>
        <w:t>11.5</w:t>
      </w:r>
      <w:r>
        <w:rPr>
          <w:rFonts w:asciiTheme="minorEastAsia" w:eastAsiaTheme="minorEastAsia" w:hAnsiTheme="minorEastAsia" w:cstheme="minorEastAsia" w:hint="eastAsia"/>
          <w:sz w:val="18"/>
          <w:szCs w:val="18"/>
        </w:rPr>
        <w:t>使用注意事项</w:t>
      </w:r>
      <w:bookmarkEnd w:id="22"/>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8"/>
          <w:szCs w:val="18"/>
        </w:rPr>
        <w:t>）在使用本设备前请仔细阅读产品说明收，并按此说明书的指示进行操作；</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）本产品不宜安装在易易燃、易爆气体的地方；</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）使用前物必确认各线路安装正常且牢固，并可靠接地；</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4</w:t>
      </w:r>
      <w:r>
        <w:rPr>
          <w:rFonts w:asciiTheme="minorEastAsia" w:eastAsiaTheme="minorEastAsia" w:hAnsiTheme="minorEastAsia" w:cstheme="minorEastAsia" w:hint="eastAsia"/>
          <w:sz w:val="18"/>
          <w:szCs w:val="18"/>
        </w:rPr>
        <w:t>）拔插充电枪、枪缆时注意力度，切不可用力过猛；</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5</w:t>
      </w:r>
      <w:r>
        <w:rPr>
          <w:rFonts w:asciiTheme="minorEastAsia" w:eastAsiaTheme="minorEastAsia" w:hAnsiTheme="minorEastAsia" w:cstheme="minorEastAsia" w:hint="eastAsia"/>
          <w:sz w:val="18"/>
          <w:szCs w:val="18"/>
        </w:rPr>
        <w:t>）刷卡操作启动停止充电时，听到充电桩发出的“滴”声提示音即可将卡移开，否则可能导致操作失败。</w:t>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23" w:name="_Toc86413371"/>
      <w:r>
        <w:rPr>
          <w:rFonts w:asciiTheme="minorEastAsia" w:eastAsiaTheme="minorEastAsia" w:hAnsiTheme="minorEastAsia" w:cstheme="minorEastAsia" w:hint="eastAsia"/>
          <w:sz w:val="18"/>
          <w:szCs w:val="18"/>
        </w:rPr>
        <w:t>12.</w:t>
      </w:r>
      <w:r>
        <w:rPr>
          <w:rFonts w:asciiTheme="minorEastAsia" w:eastAsiaTheme="minorEastAsia" w:hAnsiTheme="minorEastAsia" w:cstheme="minorEastAsia" w:hint="eastAsia"/>
          <w:sz w:val="18"/>
          <w:szCs w:val="18"/>
        </w:rPr>
        <w:t>设备的安装与储运</w:t>
      </w:r>
      <w:bookmarkEnd w:id="23"/>
    </w:p>
    <w:p w:rsidR="0088187C" w:rsidRDefault="007E6BCA">
      <w:pPr>
        <w:pStyle w:val="3"/>
        <w:spacing w:before="0" w:after="0" w:line="240" w:lineRule="auto"/>
        <w:rPr>
          <w:rFonts w:asciiTheme="minorEastAsia" w:eastAsiaTheme="minorEastAsia" w:hAnsiTheme="minorEastAsia" w:cstheme="minorEastAsia"/>
          <w:sz w:val="18"/>
          <w:szCs w:val="18"/>
        </w:rPr>
      </w:pPr>
      <w:bookmarkStart w:id="24" w:name="_Toc86413372"/>
      <w:r>
        <w:rPr>
          <w:rFonts w:asciiTheme="minorEastAsia" w:eastAsiaTheme="minorEastAsia" w:hAnsiTheme="minorEastAsia" w:cstheme="minorEastAsia" w:hint="eastAsia"/>
          <w:sz w:val="18"/>
          <w:szCs w:val="18"/>
        </w:rPr>
        <w:t xml:space="preserve">12.1 </w:t>
      </w:r>
      <w:r>
        <w:rPr>
          <w:rFonts w:asciiTheme="minorEastAsia" w:eastAsiaTheme="minorEastAsia" w:hAnsiTheme="minorEastAsia" w:cstheme="minorEastAsia" w:hint="eastAsia"/>
          <w:sz w:val="18"/>
          <w:szCs w:val="18"/>
        </w:rPr>
        <w:t>桩体外形、</w:t>
      </w:r>
      <w:bookmarkStart w:id="25" w:name="_Toc5349"/>
      <w:bookmarkStart w:id="26" w:name="_Toc310235261"/>
      <w:r>
        <w:rPr>
          <w:rFonts w:asciiTheme="minorEastAsia" w:eastAsiaTheme="minorEastAsia" w:hAnsiTheme="minorEastAsia" w:cstheme="minorEastAsia" w:hint="eastAsia"/>
          <w:sz w:val="18"/>
          <w:szCs w:val="18"/>
        </w:rPr>
        <w:t>底座尺寸图</w:t>
      </w:r>
      <w:bookmarkEnd w:id="24"/>
      <w:bookmarkEnd w:id="25"/>
      <w:bookmarkEnd w:id="26"/>
    </w:p>
    <w:p w:rsidR="0088187C" w:rsidRDefault="007E6BCA">
      <w:pP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rPr>
        <w:t xml:space="preserve"> </w:t>
      </w:r>
      <w:r>
        <w:rPr>
          <w:rFonts w:asciiTheme="minorEastAsia" w:eastAsiaTheme="minorEastAsia" w:hAnsiTheme="minorEastAsia" w:cstheme="minorEastAsia" w:hint="eastAsia"/>
          <w:b/>
          <w:bCs/>
          <w:noProof/>
          <w:sz w:val="18"/>
          <w:szCs w:val="18"/>
        </w:rPr>
        <w:drawing>
          <wp:inline distT="0" distB="0" distL="0" distR="0">
            <wp:extent cx="2407285" cy="2287905"/>
            <wp:effectExtent l="0" t="0" r="12065"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1" cstate="print"/>
                    <a:srcRect/>
                    <a:stretch>
                      <a:fillRect/>
                    </a:stretch>
                  </pic:blipFill>
                  <pic:spPr>
                    <a:xfrm>
                      <a:off x="0" y="0"/>
                      <a:ext cx="2407285" cy="2287905"/>
                    </a:xfrm>
                    <a:prstGeom prst="rect">
                      <a:avLst/>
                    </a:prstGeom>
                    <a:noFill/>
                    <a:ln w="9525">
                      <a:noFill/>
                      <a:miter lim="800000"/>
                      <a:headEnd/>
                      <a:tailEnd/>
                    </a:ln>
                  </pic:spPr>
                </pic:pic>
              </a:graphicData>
            </a:graphic>
          </wp:inline>
        </w:drawing>
      </w:r>
      <w:r>
        <w:rPr>
          <w:rFonts w:asciiTheme="minorEastAsia" w:eastAsiaTheme="minorEastAsia" w:hAnsiTheme="minorEastAsia" w:cstheme="minorEastAsia" w:hint="eastAsia"/>
          <w:noProof/>
          <w:sz w:val="18"/>
          <w:szCs w:val="18"/>
        </w:rPr>
        <w:drawing>
          <wp:inline distT="0" distB="0" distL="0" distR="0">
            <wp:extent cx="2739390" cy="1600200"/>
            <wp:effectExtent l="0" t="0" r="381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22" cstate="print"/>
                    <a:srcRect/>
                    <a:stretch>
                      <a:fillRect/>
                    </a:stretch>
                  </pic:blipFill>
                  <pic:spPr>
                    <a:xfrm>
                      <a:off x="0" y="0"/>
                      <a:ext cx="2739390" cy="1600200"/>
                    </a:xfrm>
                    <a:prstGeom prst="rect">
                      <a:avLst/>
                    </a:prstGeom>
                    <a:noFill/>
                    <a:ln w="9525">
                      <a:noFill/>
                      <a:miter lim="800000"/>
                      <a:headEnd/>
                      <a:tailEnd/>
                    </a:ln>
                  </pic:spPr>
                </pic:pic>
              </a:graphicData>
            </a:graphic>
          </wp:inline>
        </w:drawing>
      </w:r>
    </w:p>
    <w:p w:rsidR="0088187C" w:rsidRDefault="007E6BCA" w:rsidP="00EC2E93">
      <w:pPr>
        <w:ind w:firstLineChars="600" w:firstLine="1084"/>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rPr>
        <w:t>桩体外形尺寸图</w:t>
      </w:r>
      <w:r>
        <w:rPr>
          <w:rFonts w:asciiTheme="minorEastAsia" w:eastAsiaTheme="minorEastAsia" w:hAnsiTheme="minorEastAsia" w:cstheme="minorEastAsia" w:hint="eastAsia"/>
          <w:b/>
          <w:bCs/>
          <w:sz w:val="18"/>
          <w:szCs w:val="18"/>
        </w:rPr>
        <w:t xml:space="preserve">                                   </w:t>
      </w:r>
      <w:r>
        <w:rPr>
          <w:rFonts w:asciiTheme="minorEastAsia" w:eastAsiaTheme="minorEastAsia" w:hAnsiTheme="minorEastAsia" w:cstheme="minorEastAsia" w:hint="eastAsia"/>
          <w:b/>
          <w:bCs/>
          <w:sz w:val="18"/>
          <w:szCs w:val="18"/>
        </w:rPr>
        <w:t>底座尺寸图</w:t>
      </w:r>
    </w:p>
    <w:p w:rsidR="0088187C" w:rsidRDefault="007E6BCA">
      <w:pPr>
        <w:pStyle w:val="3"/>
        <w:spacing w:before="0" w:after="0" w:line="240" w:lineRule="auto"/>
        <w:rPr>
          <w:rFonts w:asciiTheme="minorEastAsia" w:eastAsiaTheme="minorEastAsia" w:hAnsiTheme="minorEastAsia" w:cstheme="minorEastAsia"/>
          <w:sz w:val="18"/>
          <w:szCs w:val="18"/>
        </w:rPr>
      </w:pPr>
      <w:bookmarkStart w:id="27" w:name="_Toc86413373"/>
      <w:r>
        <w:rPr>
          <w:rFonts w:asciiTheme="minorEastAsia" w:eastAsiaTheme="minorEastAsia" w:hAnsiTheme="minorEastAsia" w:cstheme="minorEastAsia" w:hint="eastAsia"/>
          <w:sz w:val="18"/>
          <w:szCs w:val="18"/>
        </w:rPr>
        <w:t xml:space="preserve">12.2 </w:t>
      </w:r>
      <w:r>
        <w:rPr>
          <w:rFonts w:asciiTheme="minorEastAsia" w:eastAsiaTheme="minorEastAsia" w:hAnsiTheme="minorEastAsia" w:cstheme="minorEastAsia" w:hint="eastAsia"/>
          <w:sz w:val="18"/>
          <w:szCs w:val="18"/>
        </w:rPr>
        <w:t>设备接线示意图</w:t>
      </w:r>
      <w:bookmarkEnd w:id="27"/>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inline distT="0" distB="0" distL="0" distR="0">
            <wp:extent cx="1442720" cy="1989455"/>
            <wp:effectExtent l="0" t="0" r="508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srcRect/>
                    <a:stretch>
                      <a:fillRect/>
                    </a:stretch>
                  </pic:blipFill>
                  <pic:spPr>
                    <a:xfrm>
                      <a:off x="0" y="0"/>
                      <a:ext cx="1442720" cy="1989455"/>
                    </a:xfrm>
                    <a:prstGeom prst="rect">
                      <a:avLst/>
                    </a:prstGeom>
                    <a:noFill/>
                    <a:ln w="9525">
                      <a:noFill/>
                      <a:miter lim="800000"/>
                      <a:headEnd/>
                      <a:tailEnd/>
                    </a:ln>
                  </pic:spPr>
                </pic:pic>
              </a:graphicData>
            </a:graphic>
          </wp:inline>
        </w:drawing>
      </w:r>
    </w:p>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设备接线示意图</w:t>
      </w:r>
    </w:p>
    <w:p w:rsidR="0088187C" w:rsidRDefault="007E6BCA">
      <w:pPr>
        <w:pStyle w:val="3"/>
        <w:spacing w:before="0" w:after="0" w:line="240" w:lineRule="auto"/>
        <w:rPr>
          <w:rFonts w:asciiTheme="minorEastAsia" w:eastAsiaTheme="minorEastAsia" w:hAnsiTheme="minorEastAsia" w:cstheme="minorEastAsia"/>
          <w:sz w:val="18"/>
          <w:szCs w:val="18"/>
        </w:rPr>
      </w:pPr>
      <w:bookmarkStart w:id="28" w:name="_Toc12924"/>
      <w:bookmarkStart w:id="29" w:name="_Toc86413374"/>
      <w:r>
        <w:rPr>
          <w:rFonts w:asciiTheme="minorEastAsia" w:eastAsiaTheme="minorEastAsia" w:hAnsiTheme="minorEastAsia" w:cstheme="minorEastAsia" w:hint="eastAsia"/>
          <w:sz w:val="18"/>
          <w:szCs w:val="18"/>
        </w:rPr>
        <w:t>12.3</w:t>
      </w:r>
      <w:r>
        <w:rPr>
          <w:rFonts w:asciiTheme="minorEastAsia" w:eastAsiaTheme="minorEastAsia" w:hAnsiTheme="minorEastAsia" w:cstheme="minorEastAsia" w:hint="eastAsia"/>
          <w:sz w:val="18"/>
          <w:szCs w:val="18"/>
        </w:rPr>
        <w:t>设备电缆选</w:t>
      </w:r>
      <w:bookmarkEnd w:id="28"/>
      <w:r>
        <w:rPr>
          <w:rFonts w:asciiTheme="minorEastAsia" w:eastAsiaTheme="minorEastAsia" w:hAnsiTheme="minorEastAsia" w:cstheme="minorEastAsia" w:hint="eastAsia"/>
          <w:sz w:val="18"/>
          <w:szCs w:val="18"/>
        </w:rPr>
        <w:t>型</w:t>
      </w:r>
      <w:bookmarkEnd w:id="29"/>
    </w:p>
    <w:p w:rsidR="0088187C" w:rsidRDefault="007E6BCA">
      <w:pPr>
        <w:numPr>
          <w:ilvl w:val="0"/>
          <w:numId w:val="3"/>
        </w:numPr>
        <w:jc w:val="left"/>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充电桩线缆采用单相三线制（</w:t>
      </w:r>
      <w:r>
        <w:rPr>
          <w:rFonts w:asciiTheme="minorEastAsia" w:eastAsiaTheme="minorEastAsia" w:hAnsiTheme="minorEastAsia" w:cstheme="minorEastAsia" w:hint="eastAsia"/>
          <w:sz w:val="18"/>
          <w:szCs w:val="18"/>
        </w:rPr>
        <w:t>L+N+PE</w:t>
      </w:r>
      <w:r>
        <w:rPr>
          <w:rFonts w:asciiTheme="minorEastAsia" w:eastAsiaTheme="minorEastAsia" w:hAnsiTheme="minorEastAsia" w:cstheme="minorEastAsia" w:hint="eastAsia"/>
          <w:sz w:val="18"/>
          <w:szCs w:val="18"/>
        </w:rPr>
        <w:t>），应选用带阻燃</w:t>
      </w:r>
      <w:r>
        <w:rPr>
          <w:rFonts w:asciiTheme="minorEastAsia" w:eastAsiaTheme="minorEastAsia" w:hAnsiTheme="minorEastAsia" w:cstheme="minorEastAsia" w:hint="eastAsia"/>
          <w:sz w:val="18"/>
          <w:szCs w:val="18"/>
        </w:rPr>
        <w:t>YJV</w:t>
      </w:r>
      <w:r>
        <w:rPr>
          <w:rFonts w:asciiTheme="minorEastAsia" w:eastAsiaTheme="minorEastAsia" w:hAnsiTheme="minorEastAsia" w:cstheme="minorEastAsia" w:hint="eastAsia"/>
          <w:sz w:val="18"/>
          <w:szCs w:val="18"/>
        </w:rPr>
        <w:t>或</w:t>
      </w:r>
      <w:r>
        <w:rPr>
          <w:rFonts w:asciiTheme="minorEastAsia" w:eastAsiaTheme="minorEastAsia" w:hAnsiTheme="minorEastAsia" w:cstheme="minorEastAsia" w:hint="eastAsia"/>
          <w:sz w:val="18"/>
          <w:szCs w:val="18"/>
        </w:rPr>
        <w:t>RVV</w:t>
      </w:r>
      <w:r>
        <w:rPr>
          <w:rFonts w:asciiTheme="minorEastAsia" w:eastAsiaTheme="minorEastAsia" w:hAnsiTheme="minorEastAsia" w:cstheme="minorEastAsia" w:hint="eastAsia"/>
          <w:sz w:val="18"/>
          <w:szCs w:val="18"/>
        </w:rPr>
        <w:t>系列电缆，电缆规格应根据现场实际情况</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距离、敷设方式等</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选用：</w:t>
      </w:r>
    </w:p>
    <w:p w:rsidR="0088187C" w:rsidRDefault="007E6BCA">
      <w:pPr>
        <w:jc w:val="left"/>
        <w:rPr>
          <w:rFonts w:asciiTheme="minorEastAsia" w:eastAsiaTheme="minorEastAsia" w:hAnsiTheme="minorEastAsia" w:cstheme="minorEastAsia"/>
          <w:sz w:val="18"/>
          <w:szCs w:val="18"/>
          <w:vertAlign w:val="superscript"/>
        </w:rPr>
      </w:pPr>
      <w:r>
        <w:rPr>
          <w:rFonts w:asciiTheme="minorEastAsia" w:eastAsiaTheme="minorEastAsia" w:hAnsiTheme="minorEastAsia" w:cstheme="minorEastAsia" w:hint="eastAsia"/>
          <w:sz w:val="18"/>
          <w:szCs w:val="18"/>
        </w:rPr>
        <w:lastRenderedPageBreak/>
        <w:t>建议规格：</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16mm</w:t>
      </w:r>
      <w:r>
        <w:rPr>
          <w:rFonts w:asciiTheme="minorEastAsia" w:eastAsiaTheme="minorEastAsia" w:hAnsiTheme="minorEastAsia" w:cstheme="minorEastAsia" w:hint="eastAsia"/>
          <w:sz w:val="18"/>
          <w:szCs w:val="18"/>
          <w:vertAlign w:val="superscript"/>
        </w:rPr>
        <w:t>2</w:t>
      </w:r>
      <w:r>
        <w:rPr>
          <w:rFonts w:asciiTheme="minorEastAsia" w:eastAsiaTheme="minorEastAsia" w:hAnsiTheme="minorEastAsia" w:cstheme="minorEastAsia" w:hint="eastAsia"/>
          <w:sz w:val="18"/>
          <w:szCs w:val="18"/>
        </w:rPr>
        <w:t>至</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25mm</w:t>
      </w:r>
      <w:r>
        <w:rPr>
          <w:rFonts w:asciiTheme="minorEastAsia" w:eastAsiaTheme="minorEastAsia" w:hAnsiTheme="minorEastAsia" w:cstheme="minorEastAsia" w:hint="eastAsia"/>
          <w:sz w:val="18"/>
          <w:szCs w:val="18"/>
          <w:vertAlign w:val="superscript"/>
        </w:rPr>
        <w:t>2</w:t>
      </w:r>
    </w:p>
    <w:p w:rsidR="0088187C" w:rsidRDefault="007E6BCA">
      <w:pPr>
        <w:numPr>
          <w:ilvl w:val="0"/>
          <w:numId w:val="3"/>
        </w:numPr>
        <w:jc w:val="left"/>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电缆端子压接与安装应牢固、可靠，并需保证安全接地；</w:t>
      </w:r>
    </w:p>
    <w:p w:rsidR="0088187C" w:rsidRDefault="007E6BCA">
      <w:pPr>
        <w:numPr>
          <w:ilvl w:val="0"/>
          <w:numId w:val="3"/>
        </w:numPr>
        <w:jc w:val="left"/>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上电前应系统检查各接线是否正确；</w:t>
      </w:r>
    </w:p>
    <w:p w:rsidR="0088187C" w:rsidRDefault="007E6BCA">
      <w:pPr>
        <w:pStyle w:val="3"/>
        <w:spacing w:before="0" w:after="0" w:line="240" w:lineRule="auto"/>
        <w:rPr>
          <w:rFonts w:asciiTheme="minorEastAsia" w:eastAsiaTheme="minorEastAsia" w:hAnsiTheme="minorEastAsia" w:cstheme="minorEastAsia"/>
          <w:sz w:val="18"/>
          <w:szCs w:val="18"/>
        </w:rPr>
      </w:pPr>
      <w:bookmarkStart w:id="30" w:name="_Toc86413375"/>
      <w:r>
        <w:rPr>
          <w:rFonts w:asciiTheme="minorEastAsia" w:eastAsiaTheme="minorEastAsia" w:hAnsiTheme="minorEastAsia" w:cstheme="minorEastAsia" w:hint="eastAsia"/>
          <w:sz w:val="18"/>
          <w:szCs w:val="18"/>
        </w:rPr>
        <w:t xml:space="preserve">12.4 </w:t>
      </w:r>
      <w:r>
        <w:rPr>
          <w:rFonts w:asciiTheme="minorEastAsia" w:eastAsiaTheme="minorEastAsia" w:hAnsiTheme="minorEastAsia" w:cstheme="minorEastAsia" w:hint="eastAsia"/>
          <w:sz w:val="18"/>
          <w:szCs w:val="18"/>
        </w:rPr>
        <w:t>设备的储运</w:t>
      </w:r>
      <w:bookmarkEnd w:id="30"/>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在运输过程中，应采用牢固的包装箱将充电桩本体包装牢固完好并标识装卸方向，不得将充电桩倒置储运。在运输过程中要有相应的紧固措施，避免强烈的振动和颠簸损坏设备的外包装。到货后应检查是否有损坏，如有运输损坏应与运输方及我司协商解决。开箱后应立即核对箱内物品是否和装箱单相符。</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包装好的设备应储存在相对湿度≤</w:t>
      </w:r>
      <w:r>
        <w:rPr>
          <w:rFonts w:asciiTheme="minorEastAsia" w:eastAsiaTheme="minorEastAsia" w:hAnsiTheme="minorEastAsia" w:cstheme="minorEastAsia" w:hint="eastAsia"/>
          <w:sz w:val="18"/>
          <w:szCs w:val="18"/>
        </w:rPr>
        <w:t>80%</w:t>
      </w:r>
      <w:r>
        <w:rPr>
          <w:rFonts w:asciiTheme="minorEastAsia" w:eastAsiaTheme="minorEastAsia" w:hAnsiTheme="minorEastAsia" w:cstheme="minorEastAsia" w:hint="eastAsia"/>
          <w:sz w:val="18"/>
          <w:szCs w:val="18"/>
        </w:rPr>
        <w:t>、周围空气温度为﹣</w:t>
      </w:r>
      <w:r>
        <w:rPr>
          <w:rFonts w:asciiTheme="minorEastAsia" w:eastAsiaTheme="minorEastAsia" w:hAnsiTheme="minorEastAsia" w:cstheme="minorEastAsia" w:hint="eastAsia"/>
          <w:sz w:val="18"/>
          <w:szCs w:val="18"/>
        </w:rPr>
        <w:t>10</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40</w:t>
      </w:r>
      <w:r>
        <w:rPr>
          <w:rFonts w:asciiTheme="minorEastAsia" w:eastAsiaTheme="minorEastAsia" w:hAnsiTheme="minorEastAsia" w:cstheme="minorEastAsia" w:hint="eastAsia"/>
          <w:sz w:val="18"/>
          <w:szCs w:val="18"/>
        </w:rPr>
        <w:t>℃的室内。储存场所应干燥、清洁、空气流通，并能防止各种有害气体的侵入，严禁与有腐蚀作用的物品存放在同一场所。</w:t>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31" w:name="_Toc86413376"/>
      <w:r>
        <w:rPr>
          <w:rFonts w:asciiTheme="minorEastAsia" w:eastAsiaTheme="minorEastAsia" w:hAnsiTheme="minorEastAsia" w:cstheme="minorEastAsia" w:hint="eastAsia"/>
          <w:sz w:val="18"/>
          <w:szCs w:val="18"/>
        </w:rPr>
        <w:t>13.</w:t>
      </w:r>
      <w:r>
        <w:rPr>
          <w:rFonts w:asciiTheme="minorEastAsia" w:eastAsiaTheme="minorEastAsia" w:hAnsiTheme="minorEastAsia" w:cstheme="minorEastAsia" w:hint="eastAsia"/>
          <w:sz w:val="18"/>
          <w:szCs w:val="18"/>
        </w:rPr>
        <w:t>充电桩的维护保养与故障处理</w:t>
      </w:r>
      <w:bookmarkEnd w:id="31"/>
    </w:p>
    <w:p w:rsidR="0088187C" w:rsidRDefault="007E6BCA">
      <w:pPr>
        <w:pStyle w:val="3"/>
        <w:spacing w:before="0" w:after="0" w:line="240" w:lineRule="auto"/>
        <w:rPr>
          <w:rFonts w:asciiTheme="minorEastAsia" w:eastAsiaTheme="minorEastAsia" w:hAnsiTheme="minorEastAsia" w:cstheme="minorEastAsia"/>
          <w:sz w:val="18"/>
          <w:szCs w:val="18"/>
        </w:rPr>
      </w:pPr>
      <w:bookmarkStart w:id="32" w:name="_Toc86413377"/>
      <w:r>
        <w:rPr>
          <w:rFonts w:asciiTheme="minorEastAsia" w:eastAsiaTheme="minorEastAsia" w:hAnsiTheme="minorEastAsia" w:cstheme="minorEastAsia" w:hint="eastAsia"/>
          <w:sz w:val="18"/>
          <w:szCs w:val="18"/>
        </w:rPr>
        <w:t xml:space="preserve">13.1 </w:t>
      </w:r>
      <w:r>
        <w:rPr>
          <w:rFonts w:asciiTheme="minorEastAsia" w:eastAsiaTheme="minorEastAsia" w:hAnsiTheme="minorEastAsia" w:cstheme="minorEastAsia" w:hint="eastAsia"/>
          <w:sz w:val="18"/>
          <w:szCs w:val="18"/>
        </w:rPr>
        <w:t>维护维护保养</w:t>
      </w:r>
      <w:bookmarkEnd w:id="32"/>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桩体易采用地脚螺栓固定，防止桩体因外界、人为等因素倾斜、抖动。</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）应对充电桩做好遮阳和防雨措施，室外建议安装遮雨棚</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）定期检查充电桩内所有螺栓是否紧固、连接线有无松动、连接不牢等现象。</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4</w:t>
      </w:r>
      <w:r>
        <w:rPr>
          <w:rFonts w:asciiTheme="minorEastAsia" w:eastAsiaTheme="minorEastAsia" w:hAnsiTheme="minorEastAsia" w:cstheme="minorEastAsia" w:hint="eastAsia"/>
          <w:sz w:val="18"/>
          <w:szCs w:val="18"/>
        </w:rPr>
        <w:t>）检查是否有短路现象。</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5</w:t>
      </w:r>
      <w:r>
        <w:rPr>
          <w:rFonts w:asciiTheme="minorEastAsia" w:eastAsiaTheme="minorEastAsia" w:hAnsiTheme="minorEastAsia" w:cstheme="minorEastAsia" w:hint="eastAsia"/>
          <w:sz w:val="18"/>
          <w:szCs w:val="18"/>
        </w:rPr>
        <w:t>）检查急停按钮是否为可用状态。</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6</w:t>
      </w:r>
      <w:r>
        <w:rPr>
          <w:rFonts w:asciiTheme="minorEastAsia" w:eastAsiaTheme="minorEastAsia" w:hAnsiTheme="minorEastAsia" w:cstheme="minorEastAsia" w:hint="eastAsia"/>
          <w:sz w:val="18"/>
          <w:szCs w:val="18"/>
        </w:rPr>
        <w:t>）注意防雷击，保证充电桩的有效屏蔽和可靠接地。</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7</w:t>
      </w:r>
      <w:r>
        <w:rPr>
          <w:rFonts w:asciiTheme="minorEastAsia" w:eastAsiaTheme="minorEastAsia" w:hAnsiTheme="minorEastAsia" w:cstheme="minorEastAsia" w:hint="eastAsia"/>
          <w:sz w:val="18"/>
          <w:szCs w:val="18"/>
        </w:rPr>
        <w:t>）使用时，尽量控制充电桩的输出电压和电流在标称的范围内，保证充电桩以最大效率的状态工作。</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8</w:t>
      </w:r>
      <w:r>
        <w:rPr>
          <w:rFonts w:asciiTheme="minorEastAsia" w:eastAsiaTheme="minorEastAsia" w:hAnsiTheme="minorEastAsia" w:cstheme="minorEastAsia" w:hint="eastAsia"/>
          <w:sz w:val="18"/>
          <w:szCs w:val="18"/>
        </w:rPr>
        <w:t>）桩体停止使用时，应先停止充电输出，然后将电缆绕好，置回原位。</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9</w:t>
      </w:r>
      <w:r>
        <w:rPr>
          <w:rFonts w:asciiTheme="minorEastAsia" w:eastAsiaTheme="minorEastAsia" w:hAnsiTheme="minorEastAsia" w:cstheme="minorEastAsia" w:hint="eastAsia"/>
          <w:sz w:val="18"/>
          <w:szCs w:val="18"/>
        </w:rPr>
        <w:t>）在充电桩运输过程中，将充电桩包装牢</w:t>
      </w:r>
      <w:r>
        <w:rPr>
          <w:rFonts w:asciiTheme="minorEastAsia" w:eastAsiaTheme="minorEastAsia" w:hAnsiTheme="minorEastAsia" w:cstheme="minorEastAsia" w:hint="eastAsia"/>
          <w:sz w:val="18"/>
          <w:szCs w:val="18"/>
        </w:rPr>
        <w:t>固并标识装卸方向，禁止将充电桩倒置储运；要有相应的紧固措施，避免强烈的振动和颠簸损坏设备的外包装。</w:t>
      </w:r>
    </w:p>
    <w:p w:rsidR="0088187C" w:rsidRDefault="007E6BCA">
      <w:pPr>
        <w:pStyle w:val="3"/>
        <w:spacing w:before="0" w:after="0" w:line="240" w:lineRule="auto"/>
        <w:rPr>
          <w:rFonts w:asciiTheme="minorEastAsia" w:eastAsiaTheme="minorEastAsia" w:hAnsiTheme="minorEastAsia" w:cstheme="minorEastAsia"/>
          <w:sz w:val="18"/>
          <w:szCs w:val="18"/>
        </w:rPr>
      </w:pPr>
      <w:bookmarkStart w:id="33" w:name="_Toc86413378"/>
      <w:r>
        <w:rPr>
          <w:rFonts w:asciiTheme="minorEastAsia" w:eastAsiaTheme="minorEastAsia" w:hAnsiTheme="minorEastAsia" w:cstheme="minorEastAsia" w:hint="eastAsia"/>
          <w:sz w:val="18"/>
          <w:szCs w:val="18"/>
        </w:rPr>
        <w:t xml:space="preserve">13.2 </w:t>
      </w:r>
      <w:r>
        <w:rPr>
          <w:rFonts w:asciiTheme="minorEastAsia" w:eastAsiaTheme="minorEastAsia" w:hAnsiTheme="minorEastAsia" w:cstheme="minorEastAsia" w:hint="eastAsia"/>
          <w:sz w:val="18"/>
          <w:szCs w:val="18"/>
        </w:rPr>
        <w:t>故障处理</w:t>
      </w:r>
      <w:bookmarkEnd w:id="33"/>
    </w:p>
    <w:tbl>
      <w:tblPr>
        <w:tblStyle w:val="ad"/>
        <w:tblW w:w="0" w:type="auto"/>
        <w:tblLook w:val="04A0"/>
      </w:tblPr>
      <w:tblGrid>
        <w:gridCol w:w="674"/>
        <w:gridCol w:w="1841"/>
        <w:gridCol w:w="3116"/>
        <w:gridCol w:w="2888"/>
      </w:tblGrid>
      <w:tr w:rsidR="0088187C">
        <w:trPr>
          <w:trHeight w:val="306"/>
        </w:trPr>
        <w:tc>
          <w:tcPr>
            <w:tcW w:w="674"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序号</w:t>
            </w:r>
          </w:p>
        </w:tc>
        <w:tc>
          <w:tcPr>
            <w:tcW w:w="184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问题</w:t>
            </w:r>
          </w:p>
        </w:tc>
        <w:tc>
          <w:tcPr>
            <w:tcW w:w="3116"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问题可能原因</w:t>
            </w:r>
          </w:p>
        </w:tc>
        <w:tc>
          <w:tcPr>
            <w:tcW w:w="2888"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解决方法</w:t>
            </w:r>
          </w:p>
        </w:tc>
      </w:tr>
      <w:tr w:rsidR="0088187C">
        <w:trPr>
          <w:trHeight w:val="306"/>
        </w:trPr>
        <w:tc>
          <w:tcPr>
            <w:tcW w:w="674"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184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急停故障</w:t>
            </w:r>
          </w:p>
        </w:tc>
        <w:tc>
          <w:tcPr>
            <w:tcW w:w="3116"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急停按急被按下</w:t>
            </w:r>
          </w:p>
        </w:tc>
        <w:tc>
          <w:tcPr>
            <w:tcW w:w="2888"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复位急停按钮</w:t>
            </w:r>
          </w:p>
        </w:tc>
      </w:tr>
      <w:tr w:rsidR="0088187C">
        <w:trPr>
          <w:trHeight w:val="306"/>
        </w:trPr>
        <w:tc>
          <w:tcPr>
            <w:tcW w:w="674"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184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接地故障</w:t>
            </w:r>
          </w:p>
        </w:tc>
        <w:tc>
          <w:tcPr>
            <w:tcW w:w="3116"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未接地线或</w:t>
            </w:r>
            <w:r>
              <w:rPr>
                <w:rFonts w:asciiTheme="minorEastAsia" w:eastAsiaTheme="minorEastAsia" w:hAnsiTheme="minorEastAsia" w:cstheme="minorEastAsia" w:hint="eastAsia"/>
                <w:sz w:val="18"/>
                <w:szCs w:val="18"/>
              </w:rPr>
              <w:t>L</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N</w:t>
            </w:r>
            <w:r>
              <w:rPr>
                <w:rFonts w:asciiTheme="minorEastAsia" w:eastAsiaTheme="minorEastAsia" w:hAnsiTheme="minorEastAsia" w:cstheme="minorEastAsia" w:hint="eastAsia"/>
                <w:sz w:val="18"/>
                <w:szCs w:val="18"/>
              </w:rPr>
              <w:t>线接反</w:t>
            </w:r>
          </w:p>
        </w:tc>
        <w:tc>
          <w:tcPr>
            <w:tcW w:w="2888"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检查线路</w:t>
            </w:r>
          </w:p>
        </w:tc>
      </w:tr>
      <w:tr w:rsidR="0088187C">
        <w:trPr>
          <w:trHeight w:val="306"/>
        </w:trPr>
        <w:tc>
          <w:tcPr>
            <w:tcW w:w="674"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w:t>
            </w:r>
          </w:p>
        </w:tc>
        <w:tc>
          <w:tcPr>
            <w:tcW w:w="184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显示屏黑屏</w:t>
            </w:r>
          </w:p>
        </w:tc>
        <w:tc>
          <w:tcPr>
            <w:tcW w:w="3116"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显示排线松动</w:t>
            </w:r>
          </w:p>
        </w:tc>
        <w:tc>
          <w:tcPr>
            <w:tcW w:w="2888"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检查排线</w:t>
            </w:r>
          </w:p>
        </w:tc>
      </w:tr>
      <w:tr w:rsidR="0088187C">
        <w:trPr>
          <w:trHeight w:val="306"/>
        </w:trPr>
        <w:tc>
          <w:tcPr>
            <w:tcW w:w="674"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184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刷卡鉴权失败</w:t>
            </w:r>
          </w:p>
        </w:tc>
        <w:tc>
          <w:tcPr>
            <w:tcW w:w="3116"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卡密不匹配</w:t>
            </w:r>
          </w:p>
        </w:tc>
        <w:tc>
          <w:tcPr>
            <w:tcW w:w="2888"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重新发卡</w:t>
            </w:r>
          </w:p>
        </w:tc>
      </w:tr>
      <w:tr w:rsidR="0088187C">
        <w:trPr>
          <w:trHeight w:val="306"/>
        </w:trPr>
        <w:tc>
          <w:tcPr>
            <w:tcW w:w="674"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184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4G</w:t>
            </w:r>
            <w:r>
              <w:rPr>
                <w:rFonts w:asciiTheme="minorEastAsia" w:eastAsiaTheme="minorEastAsia" w:hAnsiTheme="minorEastAsia" w:cstheme="minorEastAsia" w:hint="eastAsia"/>
                <w:sz w:val="18"/>
                <w:szCs w:val="18"/>
              </w:rPr>
              <w:t>无法联网</w:t>
            </w:r>
          </w:p>
        </w:tc>
        <w:tc>
          <w:tcPr>
            <w:tcW w:w="3116"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物联网卡是否插反</w:t>
            </w:r>
          </w:p>
        </w:tc>
        <w:tc>
          <w:tcPr>
            <w:tcW w:w="2888"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正确插卡</w:t>
            </w:r>
          </w:p>
        </w:tc>
      </w:tr>
      <w:tr w:rsidR="0088187C">
        <w:trPr>
          <w:trHeight w:val="306"/>
        </w:trPr>
        <w:tc>
          <w:tcPr>
            <w:tcW w:w="674"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6</w:t>
            </w:r>
          </w:p>
        </w:tc>
        <w:tc>
          <w:tcPr>
            <w:tcW w:w="184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接网线无法联网</w:t>
            </w:r>
          </w:p>
        </w:tc>
        <w:tc>
          <w:tcPr>
            <w:tcW w:w="3116"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检查网线是否可正常联网</w:t>
            </w:r>
          </w:p>
        </w:tc>
        <w:tc>
          <w:tcPr>
            <w:tcW w:w="2888"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更换网线或路由器</w:t>
            </w:r>
          </w:p>
        </w:tc>
      </w:tr>
      <w:tr w:rsidR="0088187C">
        <w:trPr>
          <w:trHeight w:val="315"/>
        </w:trPr>
        <w:tc>
          <w:tcPr>
            <w:tcW w:w="674"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7</w:t>
            </w:r>
          </w:p>
        </w:tc>
        <w:tc>
          <w:tcPr>
            <w:tcW w:w="1841"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充电后无法拔枪</w:t>
            </w:r>
          </w:p>
        </w:tc>
        <w:tc>
          <w:tcPr>
            <w:tcW w:w="3116"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车端上锁</w:t>
            </w:r>
          </w:p>
        </w:tc>
        <w:tc>
          <w:tcPr>
            <w:tcW w:w="2888" w:type="dxa"/>
          </w:tcPr>
          <w:p w:rsidR="0088187C" w:rsidRDefault="007E6BCA">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车端解锁</w:t>
            </w:r>
          </w:p>
        </w:tc>
      </w:tr>
    </w:tbl>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注意：</w:t>
      </w:r>
      <w:r>
        <w:rPr>
          <w:rFonts w:asciiTheme="minorEastAsia" w:eastAsiaTheme="minorEastAsia" w:hAnsiTheme="minorEastAsia" w:cstheme="minorEastAsia" w:hint="eastAsia"/>
          <w:sz w:val="18"/>
          <w:szCs w:val="18"/>
        </w:rPr>
        <w:t xml:space="preserve"> </w:t>
      </w:r>
      <w:r>
        <w:rPr>
          <w:rFonts w:asciiTheme="minorEastAsia" w:eastAsiaTheme="minorEastAsia" w:hAnsiTheme="minorEastAsia" w:cstheme="minorEastAsia" w:hint="eastAsia"/>
          <w:sz w:val="18"/>
          <w:szCs w:val="18"/>
        </w:rPr>
        <w:t>维保故障处理前，请断电，请注意安全；</w:t>
      </w:r>
    </w:p>
    <w:p w:rsidR="0088187C" w:rsidRDefault="007E6BCA">
      <w:pPr>
        <w:pStyle w:val="2"/>
        <w:spacing w:before="0" w:after="0" w:line="240" w:lineRule="auto"/>
        <w:rPr>
          <w:rFonts w:asciiTheme="minorEastAsia" w:eastAsiaTheme="minorEastAsia" w:hAnsiTheme="minorEastAsia" w:cstheme="minorEastAsia"/>
          <w:sz w:val="18"/>
          <w:szCs w:val="18"/>
        </w:rPr>
      </w:pPr>
      <w:bookmarkStart w:id="34" w:name="_Toc86413379"/>
      <w:r>
        <w:rPr>
          <w:rFonts w:asciiTheme="minorEastAsia" w:eastAsiaTheme="minorEastAsia" w:hAnsiTheme="minorEastAsia" w:cstheme="minorEastAsia" w:hint="eastAsia"/>
          <w:sz w:val="18"/>
          <w:szCs w:val="18"/>
        </w:rPr>
        <w:t>14.</w:t>
      </w:r>
      <w:r>
        <w:rPr>
          <w:rFonts w:asciiTheme="minorEastAsia" w:eastAsiaTheme="minorEastAsia" w:hAnsiTheme="minorEastAsia" w:cstheme="minorEastAsia" w:hint="eastAsia"/>
          <w:sz w:val="18"/>
          <w:szCs w:val="18"/>
        </w:rPr>
        <w:t>充电桩保修服务</w:t>
      </w:r>
      <w:bookmarkEnd w:id="34"/>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14.1</w:t>
      </w:r>
      <w:r>
        <w:rPr>
          <w:rFonts w:asciiTheme="minorEastAsia" w:eastAsiaTheme="minorEastAsia" w:hAnsiTheme="minorEastAsia" w:cstheme="minorEastAsia" w:hint="eastAsia"/>
          <w:sz w:val="18"/>
          <w:szCs w:val="18"/>
        </w:rPr>
        <w:t>．保修条件</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8"/>
          <w:szCs w:val="18"/>
        </w:rPr>
        <w:t>）产品出厂时，用户完全遵守本说明书规定的储存、安装和使用规则而出现的质量问题；</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）产品出厂后，由于运输原因，用户在开箱检查时，发现产品或配套件损坏；</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）因使用不当、非法改造、人为损坏、不可抗力等自然灾害引起的损坏，均不在保修范围内；</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14.2</w:t>
      </w:r>
      <w:r>
        <w:rPr>
          <w:rFonts w:asciiTheme="minorEastAsia" w:eastAsiaTheme="minorEastAsia" w:hAnsiTheme="minorEastAsia" w:cstheme="minorEastAsia" w:hint="eastAsia"/>
          <w:sz w:val="18"/>
          <w:szCs w:val="18"/>
        </w:rPr>
        <w:t>．保修期限</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自产品出厂之日起，产品质量保修壹年；</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14.3</w:t>
      </w:r>
      <w:r>
        <w:rPr>
          <w:rFonts w:asciiTheme="minorEastAsia" w:eastAsiaTheme="minorEastAsia" w:hAnsiTheme="minorEastAsia" w:cstheme="minorEastAsia" w:hint="eastAsia"/>
          <w:sz w:val="18"/>
          <w:szCs w:val="18"/>
        </w:rPr>
        <w:t>．保修方法及其它说明</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8"/>
          <w:szCs w:val="18"/>
        </w:rPr>
        <w:t>）保修期限内厂家负责免费更换或修理；</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2</w:t>
      </w:r>
      <w:r>
        <w:rPr>
          <w:rFonts w:asciiTheme="minorEastAsia" w:eastAsiaTheme="minorEastAsia" w:hAnsiTheme="minorEastAsia" w:cstheme="minorEastAsia" w:hint="eastAsia"/>
          <w:sz w:val="18"/>
          <w:szCs w:val="18"/>
        </w:rPr>
        <w:t>）超出保修期限，用户应同厂家协商采取有偿方式进行更换</w:t>
      </w:r>
      <w:r>
        <w:rPr>
          <w:rFonts w:asciiTheme="minorEastAsia" w:eastAsiaTheme="minorEastAsia" w:hAnsiTheme="minorEastAsia" w:cstheme="minorEastAsia" w:hint="eastAsia"/>
          <w:sz w:val="18"/>
          <w:szCs w:val="18"/>
        </w:rPr>
        <w:t>或修理；</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）本手册若有任何内容修改或变更，恕不另行通知；</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4</w:t>
      </w:r>
      <w:r>
        <w:rPr>
          <w:rFonts w:asciiTheme="minorEastAsia" w:eastAsiaTheme="minorEastAsia" w:hAnsiTheme="minorEastAsia" w:cstheme="minorEastAsia" w:hint="eastAsia"/>
          <w:sz w:val="18"/>
          <w:szCs w:val="18"/>
        </w:rPr>
        <w:t>）若本手册所述内容不作为验收依据；</w:t>
      </w:r>
    </w:p>
    <w:p w:rsidR="0088187C" w:rsidRDefault="007E6BCA">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5</w:t>
      </w:r>
      <w:r>
        <w:rPr>
          <w:rFonts w:asciiTheme="minorEastAsia" w:eastAsiaTheme="minorEastAsia" w:hAnsiTheme="minorEastAsia" w:cstheme="minorEastAsia" w:hint="eastAsia"/>
          <w:sz w:val="18"/>
          <w:szCs w:val="18"/>
        </w:rPr>
        <w:t>）若本手册内容与实物不符，请以实物为准；</w:t>
      </w:r>
    </w:p>
    <w:sectPr w:rsidR="0088187C" w:rsidSect="0088187C">
      <w:pgSz w:w="11906" w:h="16838"/>
      <w:pgMar w:top="590" w:right="1797" w:bottom="590" w:left="1797" w:header="851" w:footer="992" w:gutter="0"/>
      <w:cols w:space="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BCA" w:rsidRDefault="007E6BCA" w:rsidP="0088187C">
      <w:r>
        <w:separator/>
      </w:r>
    </w:p>
  </w:endnote>
  <w:endnote w:type="continuationSeparator" w:id="1">
    <w:p w:rsidR="007E6BCA" w:rsidRDefault="007E6BCA" w:rsidP="0088187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BCA" w:rsidRDefault="007E6BCA" w:rsidP="0088187C">
      <w:r>
        <w:separator/>
      </w:r>
    </w:p>
  </w:footnote>
  <w:footnote w:type="continuationSeparator" w:id="1">
    <w:p w:rsidR="007E6BCA" w:rsidRDefault="007E6BCA" w:rsidP="008818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87C" w:rsidRDefault="007E6BCA">
    <w:pPr>
      <w:pStyle w:val="a9"/>
    </w:pPr>
    <w:r>
      <w:rPr>
        <w:rFonts w:hint="eastAsia"/>
      </w:rPr>
      <w:t>交流充电桩使用说明书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472CD1F"/>
    <w:multiLevelType w:val="singleLevel"/>
    <w:tmpl w:val="C472CD1F"/>
    <w:lvl w:ilvl="0">
      <w:start w:val="1"/>
      <w:numFmt w:val="decimal"/>
      <w:suff w:val="nothing"/>
      <w:lvlText w:val="%1、"/>
      <w:lvlJc w:val="left"/>
    </w:lvl>
  </w:abstractNum>
  <w:abstractNum w:abstractNumId="1">
    <w:nsid w:val="39301D91"/>
    <w:multiLevelType w:val="multilevel"/>
    <w:tmpl w:val="39301D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46F56209"/>
    <w:multiLevelType w:val="multilevel"/>
    <w:tmpl w:val="46F5620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WVlZjMzNTQ4YTA0ZDBlM2JiNzFkMjg3ZjcxOGE1ODYifQ=="/>
  </w:docVars>
  <w:rsids>
    <w:rsidRoot w:val="00D80BF6"/>
    <w:rsid w:val="00006633"/>
    <w:rsid w:val="00007255"/>
    <w:rsid w:val="00007E42"/>
    <w:rsid w:val="00015473"/>
    <w:rsid w:val="00016049"/>
    <w:rsid w:val="00016AC8"/>
    <w:rsid w:val="000172D2"/>
    <w:rsid w:val="000207AC"/>
    <w:rsid w:val="00022824"/>
    <w:rsid w:val="00025719"/>
    <w:rsid w:val="0002573B"/>
    <w:rsid w:val="000268B4"/>
    <w:rsid w:val="000309A4"/>
    <w:rsid w:val="00031BCE"/>
    <w:rsid w:val="00033ADD"/>
    <w:rsid w:val="00033C49"/>
    <w:rsid w:val="000340F9"/>
    <w:rsid w:val="0003441A"/>
    <w:rsid w:val="000357ED"/>
    <w:rsid w:val="00036B42"/>
    <w:rsid w:val="00036FE7"/>
    <w:rsid w:val="000370EC"/>
    <w:rsid w:val="00037EFF"/>
    <w:rsid w:val="000404AA"/>
    <w:rsid w:val="00043092"/>
    <w:rsid w:val="000517C2"/>
    <w:rsid w:val="000524E3"/>
    <w:rsid w:val="00056C2F"/>
    <w:rsid w:val="000571E5"/>
    <w:rsid w:val="00060480"/>
    <w:rsid w:val="00060704"/>
    <w:rsid w:val="0006183F"/>
    <w:rsid w:val="00062364"/>
    <w:rsid w:val="0006411D"/>
    <w:rsid w:val="00065E13"/>
    <w:rsid w:val="00066F70"/>
    <w:rsid w:val="0007087E"/>
    <w:rsid w:val="00073204"/>
    <w:rsid w:val="00074663"/>
    <w:rsid w:val="00075E87"/>
    <w:rsid w:val="00076039"/>
    <w:rsid w:val="00080381"/>
    <w:rsid w:val="0008345F"/>
    <w:rsid w:val="00083BD4"/>
    <w:rsid w:val="00085D0C"/>
    <w:rsid w:val="00086F6C"/>
    <w:rsid w:val="0008756A"/>
    <w:rsid w:val="00093EB1"/>
    <w:rsid w:val="000955E1"/>
    <w:rsid w:val="000A100B"/>
    <w:rsid w:val="000A507D"/>
    <w:rsid w:val="000A51B7"/>
    <w:rsid w:val="000A683E"/>
    <w:rsid w:val="000B08B8"/>
    <w:rsid w:val="000B192D"/>
    <w:rsid w:val="000B1F3E"/>
    <w:rsid w:val="000B2415"/>
    <w:rsid w:val="000B25EF"/>
    <w:rsid w:val="000C121B"/>
    <w:rsid w:val="000C25D9"/>
    <w:rsid w:val="000C42F7"/>
    <w:rsid w:val="000C4EAD"/>
    <w:rsid w:val="000C644B"/>
    <w:rsid w:val="000D17D5"/>
    <w:rsid w:val="000D3F19"/>
    <w:rsid w:val="000D720A"/>
    <w:rsid w:val="000E0462"/>
    <w:rsid w:val="000E583A"/>
    <w:rsid w:val="000E6513"/>
    <w:rsid w:val="000F137E"/>
    <w:rsid w:val="000F2932"/>
    <w:rsid w:val="000F34D8"/>
    <w:rsid w:val="000F643D"/>
    <w:rsid w:val="00101F48"/>
    <w:rsid w:val="00102596"/>
    <w:rsid w:val="00106F6B"/>
    <w:rsid w:val="00111D72"/>
    <w:rsid w:val="00113549"/>
    <w:rsid w:val="00113A48"/>
    <w:rsid w:val="00113FFA"/>
    <w:rsid w:val="00114A90"/>
    <w:rsid w:val="00114DDA"/>
    <w:rsid w:val="0011518F"/>
    <w:rsid w:val="00115995"/>
    <w:rsid w:val="0011785E"/>
    <w:rsid w:val="00123127"/>
    <w:rsid w:val="001240BF"/>
    <w:rsid w:val="00124A01"/>
    <w:rsid w:val="00125A95"/>
    <w:rsid w:val="00125ACD"/>
    <w:rsid w:val="00127330"/>
    <w:rsid w:val="00127F2D"/>
    <w:rsid w:val="00131761"/>
    <w:rsid w:val="001323CF"/>
    <w:rsid w:val="0013478E"/>
    <w:rsid w:val="00137CB0"/>
    <w:rsid w:val="00137F48"/>
    <w:rsid w:val="00141D23"/>
    <w:rsid w:val="00145C48"/>
    <w:rsid w:val="00146EE6"/>
    <w:rsid w:val="00153E8A"/>
    <w:rsid w:val="001576F1"/>
    <w:rsid w:val="00157D7B"/>
    <w:rsid w:val="00160571"/>
    <w:rsid w:val="0016241C"/>
    <w:rsid w:val="001624DD"/>
    <w:rsid w:val="00164E67"/>
    <w:rsid w:val="001739FF"/>
    <w:rsid w:val="00174DAA"/>
    <w:rsid w:val="001752D3"/>
    <w:rsid w:val="001817D2"/>
    <w:rsid w:val="00181AFD"/>
    <w:rsid w:val="00181B0A"/>
    <w:rsid w:val="001848C1"/>
    <w:rsid w:val="001859F1"/>
    <w:rsid w:val="00190E3C"/>
    <w:rsid w:val="00193607"/>
    <w:rsid w:val="00194E79"/>
    <w:rsid w:val="00197E95"/>
    <w:rsid w:val="001A1551"/>
    <w:rsid w:val="001A521E"/>
    <w:rsid w:val="001A5DF4"/>
    <w:rsid w:val="001B20C0"/>
    <w:rsid w:val="001B283A"/>
    <w:rsid w:val="001B61C0"/>
    <w:rsid w:val="001B6687"/>
    <w:rsid w:val="001B79B8"/>
    <w:rsid w:val="001C3E8F"/>
    <w:rsid w:val="001C4AD1"/>
    <w:rsid w:val="001C5790"/>
    <w:rsid w:val="001C5952"/>
    <w:rsid w:val="001D2459"/>
    <w:rsid w:val="001D36AE"/>
    <w:rsid w:val="001D43FB"/>
    <w:rsid w:val="001D44C1"/>
    <w:rsid w:val="001D5F8C"/>
    <w:rsid w:val="001D6CEE"/>
    <w:rsid w:val="001D7577"/>
    <w:rsid w:val="001E4BF7"/>
    <w:rsid w:val="001E6B41"/>
    <w:rsid w:val="001E7F6A"/>
    <w:rsid w:val="001F149A"/>
    <w:rsid w:val="001F2CF3"/>
    <w:rsid w:val="001F3C99"/>
    <w:rsid w:val="001F45AA"/>
    <w:rsid w:val="001F496A"/>
    <w:rsid w:val="001F7C34"/>
    <w:rsid w:val="002000C1"/>
    <w:rsid w:val="00200F75"/>
    <w:rsid w:val="00202C53"/>
    <w:rsid w:val="00204355"/>
    <w:rsid w:val="002045DB"/>
    <w:rsid w:val="002051F2"/>
    <w:rsid w:val="00207EF9"/>
    <w:rsid w:val="00211030"/>
    <w:rsid w:val="00211EA1"/>
    <w:rsid w:val="00213456"/>
    <w:rsid w:val="00216434"/>
    <w:rsid w:val="00217B92"/>
    <w:rsid w:val="00221998"/>
    <w:rsid w:val="002241A3"/>
    <w:rsid w:val="002244D5"/>
    <w:rsid w:val="0022516C"/>
    <w:rsid w:val="002273E4"/>
    <w:rsid w:val="002340A8"/>
    <w:rsid w:val="00235255"/>
    <w:rsid w:val="0023574B"/>
    <w:rsid w:val="00235A04"/>
    <w:rsid w:val="00236FCE"/>
    <w:rsid w:val="00241166"/>
    <w:rsid w:val="00242E87"/>
    <w:rsid w:val="00243758"/>
    <w:rsid w:val="002470A6"/>
    <w:rsid w:val="00247E4F"/>
    <w:rsid w:val="00247FB8"/>
    <w:rsid w:val="002501DA"/>
    <w:rsid w:val="0025073D"/>
    <w:rsid w:val="00253B8B"/>
    <w:rsid w:val="002551A3"/>
    <w:rsid w:val="0026144E"/>
    <w:rsid w:val="00262009"/>
    <w:rsid w:val="002621D6"/>
    <w:rsid w:val="00263BC8"/>
    <w:rsid w:val="00263E9A"/>
    <w:rsid w:val="002650BF"/>
    <w:rsid w:val="0026532F"/>
    <w:rsid w:val="00265FCD"/>
    <w:rsid w:val="002672F1"/>
    <w:rsid w:val="0027024A"/>
    <w:rsid w:val="00273141"/>
    <w:rsid w:val="00273C89"/>
    <w:rsid w:val="00274A20"/>
    <w:rsid w:val="00274EAA"/>
    <w:rsid w:val="00276190"/>
    <w:rsid w:val="002907D3"/>
    <w:rsid w:val="00290CD7"/>
    <w:rsid w:val="002922C1"/>
    <w:rsid w:val="002942E3"/>
    <w:rsid w:val="002A0A04"/>
    <w:rsid w:val="002A2869"/>
    <w:rsid w:val="002A3B74"/>
    <w:rsid w:val="002A490F"/>
    <w:rsid w:val="002A4F89"/>
    <w:rsid w:val="002A6660"/>
    <w:rsid w:val="002A7047"/>
    <w:rsid w:val="002A79AF"/>
    <w:rsid w:val="002B3F9B"/>
    <w:rsid w:val="002B7293"/>
    <w:rsid w:val="002B7658"/>
    <w:rsid w:val="002C4A5B"/>
    <w:rsid w:val="002C6ABB"/>
    <w:rsid w:val="002D085B"/>
    <w:rsid w:val="002D12AA"/>
    <w:rsid w:val="002D3ECA"/>
    <w:rsid w:val="002D40F3"/>
    <w:rsid w:val="002D445B"/>
    <w:rsid w:val="002D586E"/>
    <w:rsid w:val="002E1F56"/>
    <w:rsid w:val="002E7354"/>
    <w:rsid w:val="002F28D8"/>
    <w:rsid w:val="002F4BA1"/>
    <w:rsid w:val="002F759F"/>
    <w:rsid w:val="003002CC"/>
    <w:rsid w:val="0030237C"/>
    <w:rsid w:val="0030342E"/>
    <w:rsid w:val="00304EF4"/>
    <w:rsid w:val="0030788A"/>
    <w:rsid w:val="0031236D"/>
    <w:rsid w:val="00312E7A"/>
    <w:rsid w:val="0031622F"/>
    <w:rsid w:val="003164F6"/>
    <w:rsid w:val="00316516"/>
    <w:rsid w:val="00316A5B"/>
    <w:rsid w:val="00320E16"/>
    <w:rsid w:val="00330219"/>
    <w:rsid w:val="003328C9"/>
    <w:rsid w:val="00333CE4"/>
    <w:rsid w:val="00334874"/>
    <w:rsid w:val="00335A70"/>
    <w:rsid w:val="003360ED"/>
    <w:rsid w:val="00336B5D"/>
    <w:rsid w:val="003407E1"/>
    <w:rsid w:val="00340EE1"/>
    <w:rsid w:val="00343BE3"/>
    <w:rsid w:val="00347406"/>
    <w:rsid w:val="00351023"/>
    <w:rsid w:val="00352DC8"/>
    <w:rsid w:val="00352E3D"/>
    <w:rsid w:val="00355B25"/>
    <w:rsid w:val="003576B6"/>
    <w:rsid w:val="0036259F"/>
    <w:rsid w:val="00380629"/>
    <w:rsid w:val="00383879"/>
    <w:rsid w:val="00383F9C"/>
    <w:rsid w:val="003848F1"/>
    <w:rsid w:val="00386E61"/>
    <w:rsid w:val="003928F0"/>
    <w:rsid w:val="00392D16"/>
    <w:rsid w:val="0039329D"/>
    <w:rsid w:val="00396D3C"/>
    <w:rsid w:val="003A11E7"/>
    <w:rsid w:val="003A18A5"/>
    <w:rsid w:val="003A2B91"/>
    <w:rsid w:val="003A4721"/>
    <w:rsid w:val="003A7E9A"/>
    <w:rsid w:val="003B051C"/>
    <w:rsid w:val="003B4804"/>
    <w:rsid w:val="003C17F4"/>
    <w:rsid w:val="003C3ED7"/>
    <w:rsid w:val="003C5299"/>
    <w:rsid w:val="003C5EB7"/>
    <w:rsid w:val="003C6E58"/>
    <w:rsid w:val="003D026D"/>
    <w:rsid w:val="003D0AC4"/>
    <w:rsid w:val="003D3B77"/>
    <w:rsid w:val="003D3C86"/>
    <w:rsid w:val="003D438B"/>
    <w:rsid w:val="003D5CBD"/>
    <w:rsid w:val="003D5FB6"/>
    <w:rsid w:val="003D630B"/>
    <w:rsid w:val="003D7E8A"/>
    <w:rsid w:val="003E6AEA"/>
    <w:rsid w:val="003F1A3B"/>
    <w:rsid w:val="003F41B7"/>
    <w:rsid w:val="00400DB6"/>
    <w:rsid w:val="0040359B"/>
    <w:rsid w:val="004043CF"/>
    <w:rsid w:val="0040740A"/>
    <w:rsid w:val="00407EEE"/>
    <w:rsid w:val="004110D9"/>
    <w:rsid w:val="00416746"/>
    <w:rsid w:val="00417BA3"/>
    <w:rsid w:val="00421EDE"/>
    <w:rsid w:val="004229CD"/>
    <w:rsid w:val="004238E8"/>
    <w:rsid w:val="00423BE2"/>
    <w:rsid w:val="00425271"/>
    <w:rsid w:val="0042763C"/>
    <w:rsid w:val="00427DB6"/>
    <w:rsid w:val="004312BA"/>
    <w:rsid w:val="00431FD0"/>
    <w:rsid w:val="00434259"/>
    <w:rsid w:val="0043486D"/>
    <w:rsid w:val="00441611"/>
    <w:rsid w:val="00442DB4"/>
    <w:rsid w:val="0044517B"/>
    <w:rsid w:val="00446039"/>
    <w:rsid w:val="00447B65"/>
    <w:rsid w:val="00447B72"/>
    <w:rsid w:val="00450E61"/>
    <w:rsid w:val="00451054"/>
    <w:rsid w:val="0045310E"/>
    <w:rsid w:val="004537AA"/>
    <w:rsid w:val="00454C26"/>
    <w:rsid w:val="004550C2"/>
    <w:rsid w:val="0045605E"/>
    <w:rsid w:val="004563F4"/>
    <w:rsid w:val="00457227"/>
    <w:rsid w:val="00460A6C"/>
    <w:rsid w:val="0046170D"/>
    <w:rsid w:val="004648EC"/>
    <w:rsid w:val="00464A22"/>
    <w:rsid w:val="004656DF"/>
    <w:rsid w:val="0047038E"/>
    <w:rsid w:val="00470A61"/>
    <w:rsid w:val="00475F90"/>
    <w:rsid w:val="00484186"/>
    <w:rsid w:val="004844E8"/>
    <w:rsid w:val="00484650"/>
    <w:rsid w:val="00484992"/>
    <w:rsid w:val="00485D09"/>
    <w:rsid w:val="00493A0C"/>
    <w:rsid w:val="004945CE"/>
    <w:rsid w:val="00496805"/>
    <w:rsid w:val="00496E09"/>
    <w:rsid w:val="004972F1"/>
    <w:rsid w:val="004A67AC"/>
    <w:rsid w:val="004A6D96"/>
    <w:rsid w:val="004B0B2A"/>
    <w:rsid w:val="004B1314"/>
    <w:rsid w:val="004B1954"/>
    <w:rsid w:val="004B5211"/>
    <w:rsid w:val="004B5385"/>
    <w:rsid w:val="004B6780"/>
    <w:rsid w:val="004B739B"/>
    <w:rsid w:val="004C057E"/>
    <w:rsid w:val="004C0AB1"/>
    <w:rsid w:val="004C3CB5"/>
    <w:rsid w:val="004C3D74"/>
    <w:rsid w:val="004C3F25"/>
    <w:rsid w:val="004C4CD2"/>
    <w:rsid w:val="004C56AE"/>
    <w:rsid w:val="004C6360"/>
    <w:rsid w:val="004C729E"/>
    <w:rsid w:val="004C737F"/>
    <w:rsid w:val="004D1151"/>
    <w:rsid w:val="004D1FF0"/>
    <w:rsid w:val="004D255D"/>
    <w:rsid w:val="004D2D2F"/>
    <w:rsid w:val="004E341C"/>
    <w:rsid w:val="004E7A64"/>
    <w:rsid w:val="004F1CFF"/>
    <w:rsid w:val="004F228B"/>
    <w:rsid w:val="00502039"/>
    <w:rsid w:val="005024F5"/>
    <w:rsid w:val="00502F82"/>
    <w:rsid w:val="00506498"/>
    <w:rsid w:val="00510849"/>
    <w:rsid w:val="0051122F"/>
    <w:rsid w:val="005133FC"/>
    <w:rsid w:val="005163F8"/>
    <w:rsid w:val="00520D3C"/>
    <w:rsid w:val="005210EE"/>
    <w:rsid w:val="00524419"/>
    <w:rsid w:val="00524B5D"/>
    <w:rsid w:val="00525A89"/>
    <w:rsid w:val="00525E28"/>
    <w:rsid w:val="00527373"/>
    <w:rsid w:val="00527B38"/>
    <w:rsid w:val="005315D6"/>
    <w:rsid w:val="00531663"/>
    <w:rsid w:val="00532BA2"/>
    <w:rsid w:val="0053330F"/>
    <w:rsid w:val="0053551C"/>
    <w:rsid w:val="005368ED"/>
    <w:rsid w:val="00541CD0"/>
    <w:rsid w:val="00543025"/>
    <w:rsid w:val="00544080"/>
    <w:rsid w:val="00546406"/>
    <w:rsid w:val="005466E1"/>
    <w:rsid w:val="00546BA2"/>
    <w:rsid w:val="00551B00"/>
    <w:rsid w:val="00554110"/>
    <w:rsid w:val="005572EF"/>
    <w:rsid w:val="005611DC"/>
    <w:rsid w:val="005633C4"/>
    <w:rsid w:val="00565DD7"/>
    <w:rsid w:val="0057091C"/>
    <w:rsid w:val="00571B42"/>
    <w:rsid w:val="00572C53"/>
    <w:rsid w:val="00572CC0"/>
    <w:rsid w:val="00575120"/>
    <w:rsid w:val="0057597A"/>
    <w:rsid w:val="0057636D"/>
    <w:rsid w:val="00577576"/>
    <w:rsid w:val="005938B7"/>
    <w:rsid w:val="005957D3"/>
    <w:rsid w:val="005A0C2A"/>
    <w:rsid w:val="005A27B6"/>
    <w:rsid w:val="005A4885"/>
    <w:rsid w:val="005A683B"/>
    <w:rsid w:val="005A797E"/>
    <w:rsid w:val="005A7AC4"/>
    <w:rsid w:val="005B3AB0"/>
    <w:rsid w:val="005B67A2"/>
    <w:rsid w:val="005B7F10"/>
    <w:rsid w:val="005C1495"/>
    <w:rsid w:val="005C219E"/>
    <w:rsid w:val="005C48F7"/>
    <w:rsid w:val="005C53F9"/>
    <w:rsid w:val="005C610E"/>
    <w:rsid w:val="005C7925"/>
    <w:rsid w:val="005D2438"/>
    <w:rsid w:val="005E07F1"/>
    <w:rsid w:val="005E3A12"/>
    <w:rsid w:val="005E473E"/>
    <w:rsid w:val="005E548F"/>
    <w:rsid w:val="005E5EE8"/>
    <w:rsid w:val="005E6853"/>
    <w:rsid w:val="005E72C4"/>
    <w:rsid w:val="005F6F9C"/>
    <w:rsid w:val="005F78B3"/>
    <w:rsid w:val="00600187"/>
    <w:rsid w:val="00600D70"/>
    <w:rsid w:val="00600DAB"/>
    <w:rsid w:val="00601CFB"/>
    <w:rsid w:val="00602355"/>
    <w:rsid w:val="0060410B"/>
    <w:rsid w:val="006046D6"/>
    <w:rsid w:val="00606859"/>
    <w:rsid w:val="0061000A"/>
    <w:rsid w:val="006129E5"/>
    <w:rsid w:val="00621930"/>
    <w:rsid w:val="0062580D"/>
    <w:rsid w:val="006338D2"/>
    <w:rsid w:val="00641451"/>
    <w:rsid w:val="00642F48"/>
    <w:rsid w:val="00643881"/>
    <w:rsid w:val="00643C0E"/>
    <w:rsid w:val="0064414A"/>
    <w:rsid w:val="00645A3A"/>
    <w:rsid w:val="006477EC"/>
    <w:rsid w:val="00650260"/>
    <w:rsid w:val="006532A8"/>
    <w:rsid w:val="00653F2D"/>
    <w:rsid w:val="00660482"/>
    <w:rsid w:val="00660EC5"/>
    <w:rsid w:val="006621D8"/>
    <w:rsid w:val="00663995"/>
    <w:rsid w:val="00664CFA"/>
    <w:rsid w:val="006652F2"/>
    <w:rsid w:val="006658DA"/>
    <w:rsid w:val="00670D5A"/>
    <w:rsid w:val="00671C86"/>
    <w:rsid w:val="00675655"/>
    <w:rsid w:val="0067623E"/>
    <w:rsid w:val="00681757"/>
    <w:rsid w:val="006825BF"/>
    <w:rsid w:val="00682C74"/>
    <w:rsid w:val="00682F46"/>
    <w:rsid w:val="00687961"/>
    <w:rsid w:val="00690172"/>
    <w:rsid w:val="0069259A"/>
    <w:rsid w:val="0069443F"/>
    <w:rsid w:val="006A08F9"/>
    <w:rsid w:val="006A0E2F"/>
    <w:rsid w:val="006A0E9F"/>
    <w:rsid w:val="006A1476"/>
    <w:rsid w:val="006A1FBF"/>
    <w:rsid w:val="006A65FA"/>
    <w:rsid w:val="006A701E"/>
    <w:rsid w:val="006B1E4B"/>
    <w:rsid w:val="006B2AFA"/>
    <w:rsid w:val="006B3A87"/>
    <w:rsid w:val="006B492F"/>
    <w:rsid w:val="006B4D43"/>
    <w:rsid w:val="006B69B5"/>
    <w:rsid w:val="006B72ED"/>
    <w:rsid w:val="006B78C0"/>
    <w:rsid w:val="006C194C"/>
    <w:rsid w:val="006C1D8B"/>
    <w:rsid w:val="006D088D"/>
    <w:rsid w:val="006D2727"/>
    <w:rsid w:val="006D340F"/>
    <w:rsid w:val="006D364B"/>
    <w:rsid w:val="006D71D5"/>
    <w:rsid w:val="006E0D7D"/>
    <w:rsid w:val="006E1017"/>
    <w:rsid w:val="006E2581"/>
    <w:rsid w:val="006E2A9B"/>
    <w:rsid w:val="006F0848"/>
    <w:rsid w:val="00700614"/>
    <w:rsid w:val="00700B7D"/>
    <w:rsid w:val="0070160E"/>
    <w:rsid w:val="00703304"/>
    <w:rsid w:val="00704B96"/>
    <w:rsid w:val="00704C82"/>
    <w:rsid w:val="0070790A"/>
    <w:rsid w:val="007105A9"/>
    <w:rsid w:val="00710F6E"/>
    <w:rsid w:val="00713317"/>
    <w:rsid w:val="007161D8"/>
    <w:rsid w:val="007161FD"/>
    <w:rsid w:val="007253C7"/>
    <w:rsid w:val="007264D7"/>
    <w:rsid w:val="00733766"/>
    <w:rsid w:val="007337B8"/>
    <w:rsid w:val="00733A02"/>
    <w:rsid w:val="00734417"/>
    <w:rsid w:val="00734F3C"/>
    <w:rsid w:val="0074045F"/>
    <w:rsid w:val="00741D80"/>
    <w:rsid w:val="00741E51"/>
    <w:rsid w:val="00742D5A"/>
    <w:rsid w:val="007440D9"/>
    <w:rsid w:val="00745377"/>
    <w:rsid w:val="00750819"/>
    <w:rsid w:val="00752772"/>
    <w:rsid w:val="00753FDA"/>
    <w:rsid w:val="00755A39"/>
    <w:rsid w:val="00762D02"/>
    <w:rsid w:val="007636D5"/>
    <w:rsid w:val="007656FB"/>
    <w:rsid w:val="00766D8D"/>
    <w:rsid w:val="007679D0"/>
    <w:rsid w:val="007701FD"/>
    <w:rsid w:val="00770F3A"/>
    <w:rsid w:val="00771659"/>
    <w:rsid w:val="00775387"/>
    <w:rsid w:val="00776833"/>
    <w:rsid w:val="007772CA"/>
    <w:rsid w:val="00785261"/>
    <w:rsid w:val="00785783"/>
    <w:rsid w:val="007867F2"/>
    <w:rsid w:val="00790BDB"/>
    <w:rsid w:val="00792322"/>
    <w:rsid w:val="00793ED4"/>
    <w:rsid w:val="00794440"/>
    <w:rsid w:val="00794B9C"/>
    <w:rsid w:val="00795471"/>
    <w:rsid w:val="007A0D2D"/>
    <w:rsid w:val="007A41BE"/>
    <w:rsid w:val="007B0918"/>
    <w:rsid w:val="007B7054"/>
    <w:rsid w:val="007C0621"/>
    <w:rsid w:val="007C1B85"/>
    <w:rsid w:val="007C24BF"/>
    <w:rsid w:val="007C2751"/>
    <w:rsid w:val="007C3748"/>
    <w:rsid w:val="007C62EB"/>
    <w:rsid w:val="007C7C0B"/>
    <w:rsid w:val="007D1920"/>
    <w:rsid w:val="007D2008"/>
    <w:rsid w:val="007D62D6"/>
    <w:rsid w:val="007D794F"/>
    <w:rsid w:val="007E1AD2"/>
    <w:rsid w:val="007E1F04"/>
    <w:rsid w:val="007E1FBA"/>
    <w:rsid w:val="007E397C"/>
    <w:rsid w:val="007E4552"/>
    <w:rsid w:val="007E50B6"/>
    <w:rsid w:val="007E53F3"/>
    <w:rsid w:val="007E6BCA"/>
    <w:rsid w:val="007E7936"/>
    <w:rsid w:val="007E7E6B"/>
    <w:rsid w:val="007F1253"/>
    <w:rsid w:val="007F1C4D"/>
    <w:rsid w:val="007F1E45"/>
    <w:rsid w:val="007F310E"/>
    <w:rsid w:val="007F50E1"/>
    <w:rsid w:val="007F6604"/>
    <w:rsid w:val="007F75EE"/>
    <w:rsid w:val="00800162"/>
    <w:rsid w:val="008008EE"/>
    <w:rsid w:val="0080310C"/>
    <w:rsid w:val="00803A83"/>
    <w:rsid w:val="00806648"/>
    <w:rsid w:val="00806B3B"/>
    <w:rsid w:val="00810F0F"/>
    <w:rsid w:val="00814CB2"/>
    <w:rsid w:val="0081680C"/>
    <w:rsid w:val="008174A4"/>
    <w:rsid w:val="00817CB6"/>
    <w:rsid w:val="00817CF9"/>
    <w:rsid w:val="00822A32"/>
    <w:rsid w:val="00822B9C"/>
    <w:rsid w:val="00822C83"/>
    <w:rsid w:val="00822FDB"/>
    <w:rsid w:val="00833C50"/>
    <w:rsid w:val="0083401C"/>
    <w:rsid w:val="00835D15"/>
    <w:rsid w:val="0083633D"/>
    <w:rsid w:val="0083673A"/>
    <w:rsid w:val="008403FB"/>
    <w:rsid w:val="00841C46"/>
    <w:rsid w:val="00843ACC"/>
    <w:rsid w:val="0084724D"/>
    <w:rsid w:val="0085363D"/>
    <w:rsid w:val="00853AA3"/>
    <w:rsid w:val="00854729"/>
    <w:rsid w:val="008562D6"/>
    <w:rsid w:val="0086185E"/>
    <w:rsid w:val="00862143"/>
    <w:rsid w:val="008638CE"/>
    <w:rsid w:val="00863A85"/>
    <w:rsid w:val="0086454E"/>
    <w:rsid w:val="008649EC"/>
    <w:rsid w:val="00865357"/>
    <w:rsid w:val="00867A7A"/>
    <w:rsid w:val="0087034A"/>
    <w:rsid w:val="00870736"/>
    <w:rsid w:val="00876E2B"/>
    <w:rsid w:val="00877BA4"/>
    <w:rsid w:val="00880B27"/>
    <w:rsid w:val="0088187C"/>
    <w:rsid w:val="00885E93"/>
    <w:rsid w:val="00886CB5"/>
    <w:rsid w:val="008870D9"/>
    <w:rsid w:val="00890F1C"/>
    <w:rsid w:val="00892340"/>
    <w:rsid w:val="008941B2"/>
    <w:rsid w:val="008949E2"/>
    <w:rsid w:val="008958C0"/>
    <w:rsid w:val="008A0AA9"/>
    <w:rsid w:val="008A20E7"/>
    <w:rsid w:val="008A36A6"/>
    <w:rsid w:val="008A384D"/>
    <w:rsid w:val="008A3FC7"/>
    <w:rsid w:val="008A44B5"/>
    <w:rsid w:val="008A49EA"/>
    <w:rsid w:val="008A5FDF"/>
    <w:rsid w:val="008B0B0F"/>
    <w:rsid w:val="008B28CA"/>
    <w:rsid w:val="008B2B59"/>
    <w:rsid w:val="008B3927"/>
    <w:rsid w:val="008C0350"/>
    <w:rsid w:val="008C1BBC"/>
    <w:rsid w:val="008C1FB4"/>
    <w:rsid w:val="008C2684"/>
    <w:rsid w:val="008C42BF"/>
    <w:rsid w:val="008C49D0"/>
    <w:rsid w:val="008D04C4"/>
    <w:rsid w:val="008D0AEB"/>
    <w:rsid w:val="008D429B"/>
    <w:rsid w:val="008D4DC0"/>
    <w:rsid w:val="008D4FCB"/>
    <w:rsid w:val="008D5B6C"/>
    <w:rsid w:val="008E2913"/>
    <w:rsid w:val="008E39C0"/>
    <w:rsid w:val="008E60DC"/>
    <w:rsid w:val="008E6B3E"/>
    <w:rsid w:val="008F1C33"/>
    <w:rsid w:val="008F2A87"/>
    <w:rsid w:val="008F5E8A"/>
    <w:rsid w:val="008F6ABE"/>
    <w:rsid w:val="00903F6D"/>
    <w:rsid w:val="0090626C"/>
    <w:rsid w:val="009102D5"/>
    <w:rsid w:val="00910642"/>
    <w:rsid w:val="00910AC7"/>
    <w:rsid w:val="00911F33"/>
    <w:rsid w:val="00915855"/>
    <w:rsid w:val="009164E8"/>
    <w:rsid w:val="0091658B"/>
    <w:rsid w:val="00916AE3"/>
    <w:rsid w:val="00916B0C"/>
    <w:rsid w:val="00917502"/>
    <w:rsid w:val="00923064"/>
    <w:rsid w:val="0092561E"/>
    <w:rsid w:val="00925E28"/>
    <w:rsid w:val="009271C0"/>
    <w:rsid w:val="00932E1D"/>
    <w:rsid w:val="00945B5E"/>
    <w:rsid w:val="00945DC2"/>
    <w:rsid w:val="00950861"/>
    <w:rsid w:val="009539F5"/>
    <w:rsid w:val="00955647"/>
    <w:rsid w:val="009559CE"/>
    <w:rsid w:val="00956C14"/>
    <w:rsid w:val="00967E3A"/>
    <w:rsid w:val="00970E19"/>
    <w:rsid w:val="00971B01"/>
    <w:rsid w:val="00971E88"/>
    <w:rsid w:val="009730B8"/>
    <w:rsid w:val="00975410"/>
    <w:rsid w:val="00977D4E"/>
    <w:rsid w:val="00984A5B"/>
    <w:rsid w:val="00984D82"/>
    <w:rsid w:val="00985D62"/>
    <w:rsid w:val="00985F98"/>
    <w:rsid w:val="0099075C"/>
    <w:rsid w:val="009913FE"/>
    <w:rsid w:val="009921FD"/>
    <w:rsid w:val="00992D5F"/>
    <w:rsid w:val="00993B47"/>
    <w:rsid w:val="00996C82"/>
    <w:rsid w:val="009A2F4C"/>
    <w:rsid w:val="009A3D73"/>
    <w:rsid w:val="009B11B7"/>
    <w:rsid w:val="009B7C91"/>
    <w:rsid w:val="009C0C42"/>
    <w:rsid w:val="009C3128"/>
    <w:rsid w:val="009C5C3C"/>
    <w:rsid w:val="009C622B"/>
    <w:rsid w:val="009C6244"/>
    <w:rsid w:val="009D0046"/>
    <w:rsid w:val="009D0340"/>
    <w:rsid w:val="009D4D4B"/>
    <w:rsid w:val="009D50B7"/>
    <w:rsid w:val="009E04EA"/>
    <w:rsid w:val="009E0FA9"/>
    <w:rsid w:val="009E1642"/>
    <w:rsid w:val="009E27DA"/>
    <w:rsid w:val="009E4250"/>
    <w:rsid w:val="009E49A2"/>
    <w:rsid w:val="009F6021"/>
    <w:rsid w:val="00A00DBD"/>
    <w:rsid w:val="00A027D2"/>
    <w:rsid w:val="00A065F0"/>
    <w:rsid w:val="00A119CE"/>
    <w:rsid w:val="00A15FB5"/>
    <w:rsid w:val="00A20412"/>
    <w:rsid w:val="00A21259"/>
    <w:rsid w:val="00A2791E"/>
    <w:rsid w:val="00A30675"/>
    <w:rsid w:val="00A3149A"/>
    <w:rsid w:val="00A337A0"/>
    <w:rsid w:val="00A35643"/>
    <w:rsid w:val="00A35C1F"/>
    <w:rsid w:val="00A4072B"/>
    <w:rsid w:val="00A40820"/>
    <w:rsid w:val="00A42C81"/>
    <w:rsid w:val="00A42EBA"/>
    <w:rsid w:val="00A4719C"/>
    <w:rsid w:val="00A544EC"/>
    <w:rsid w:val="00A54B2B"/>
    <w:rsid w:val="00A556D4"/>
    <w:rsid w:val="00A574BE"/>
    <w:rsid w:val="00A60B38"/>
    <w:rsid w:val="00A636D1"/>
    <w:rsid w:val="00A663AB"/>
    <w:rsid w:val="00A72369"/>
    <w:rsid w:val="00A731A5"/>
    <w:rsid w:val="00A74551"/>
    <w:rsid w:val="00A74BCC"/>
    <w:rsid w:val="00A75D0C"/>
    <w:rsid w:val="00A81D4D"/>
    <w:rsid w:val="00A8379C"/>
    <w:rsid w:val="00A851E6"/>
    <w:rsid w:val="00A871CC"/>
    <w:rsid w:val="00A918EF"/>
    <w:rsid w:val="00A94D0B"/>
    <w:rsid w:val="00A94FC2"/>
    <w:rsid w:val="00A9602C"/>
    <w:rsid w:val="00AA005A"/>
    <w:rsid w:val="00AA0612"/>
    <w:rsid w:val="00AA1606"/>
    <w:rsid w:val="00AA3046"/>
    <w:rsid w:val="00AA3148"/>
    <w:rsid w:val="00AA37FD"/>
    <w:rsid w:val="00AB268A"/>
    <w:rsid w:val="00AB2E38"/>
    <w:rsid w:val="00AB74A3"/>
    <w:rsid w:val="00AC0C9C"/>
    <w:rsid w:val="00AC1EBA"/>
    <w:rsid w:val="00AC29F4"/>
    <w:rsid w:val="00AC4BBD"/>
    <w:rsid w:val="00AD0A53"/>
    <w:rsid w:val="00AD2CA4"/>
    <w:rsid w:val="00AD2E02"/>
    <w:rsid w:val="00AD439B"/>
    <w:rsid w:val="00AD583B"/>
    <w:rsid w:val="00AD7AF8"/>
    <w:rsid w:val="00AD7C13"/>
    <w:rsid w:val="00AE1A1B"/>
    <w:rsid w:val="00AE1C4E"/>
    <w:rsid w:val="00AE3994"/>
    <w:rsid w:val="00AF2192"/>
    <w:rsid w:val="00AF247C"/>
    <w:rsid w:val="00AF24D9"/>
    <w:rsid w:val="00AF3479"/>
    <w:rsid w:val="00AF776D"/>
    <w:rsid w:val="00B066C6"/>
    <w:rsid w:val="00B06F60"/>
    <w:rsid w:val="00B108BE"/>
    <w:rsid w:val="00B109C5"/>
    <w:rsid w:val="00B10FD3"/>
    <w:rsid w:val="00B14E4D"/>
    <w:rsid w:val="00B1626A"/>
    <w:rsid w:val="00B171DD"/>
    <w:rsid w:val="00B1738A"/>
    <w:rsid w:val="00B20AF1"/>
    <w:rsid w:val="00B21EE3"/>
    <w:rsid w:val="00B22013"/>
    <w:rsid w:val="00B223B7"/>
    <w:rsid w:val="00B23A12"/>
    <w:rsid w:val="00B2530E"/>
    <w:rsid w:val="00B2565B"/>
    <w:rsid w:val="00B30EDC"/>
    <w:rsid w:val="00B32290"/>
    <w:rsid w:val="00B32B34"/>
    <w:rsid w:val="00B3675F"/>
    <w:rsid w:val="00B37BA3"/>
    <w:rsid w:val="00B40D7E"/>
    <w:rsid w:val="00B41264"/>
    <w:rsid w:val="00B41654"/>
    <w:rsid w:val="00B42F3D"/>
    <w:rsid w:val="00B474E6"/>
    <w:rsid w:val="00B475C2"/>
    <w:rsid w:val="00B47F37"/>
    <w:rsid w:val="00B51319"/>
    <w:rsid w:val="00B51944"/>
    <w:rsid w:val="00B60635"/>
    <w:rsid w:val="00B61056"/>
    <w:rsid w:val="00B63EF7"/>
    <w:rsid w:val="00B66719"/>
    <w:rsid w:val="00B67E26"/>
    <w:rsid w:val="00B70952"/>
    <w:rsid w:val="00B70AF5"/>
    <w:rsid w:val="00B7155F"/>
    <w:rsid w:val="00B72689"/>
    <w:rsid w:val="00B74B27"/>
    <w:rsid w:val="00B7542E"/>
    <w:rsid w:val="00B76433"/>
    <w:rsid w:val="00B81187"/>
    <w:rsid w:val="00B82416"/>
    <w:rsid w:val="00B84107"/>
    <w:rsid w:val="00B85C24"/>
    <w:rsid w:val="00B861A7"/>
    <w:rsid w:val="00B92BDF"/>
    <w:rsid w:val="00B9352F"/>
    <w:rsid w:val="00B96854"/>
    <w:rsid w:val="00B97E89"/>
    <w:rsid w:val="00BA0348"/>
    <w:rsid w:val="00BA30F2"/>
    <w:rsid w:val="00BA60FA"/>
    <w:rsid w:val="00BA64F1"/>
    <w:rsid w:val="00BB11B7"/>
    <w:rsid w:val="00BB499B"/>
    <w:rsid w:val="00BB4FE2"/>
    <w:rsid w:val="00BC08AF"/>
    <w:rsid w:val="00BC1819"/>
    <w:rsid w:val="00BC37CE"/>
    <w:rsid w:val="00BC4FB9"/>
    <w:rsid w:val="00BC52FC"/>
    <w:rsid w:val="00BC6F87"/>
    <w:rsid w:val="00BD05C7"/>
    <w:rsid w:val="00BD0986"/>
    <w:rsid w:val="00BD43E3"/>
    <w:rsid w:val="00BD5530"/>
    <w:rsid w:val="00BD5D42"/>
    <w:rsid w:val="00BD6141"/>
    <w:rsid w:val="00BD62F9"/>
    <w:rsid w:val="00BE0B32"/>
    <w:rsid w:val="00BE0EBA"/>
    <w:rsid w:val="00BE135F"/>
    <w:rsid w:val="00BE4D67"/>
    <w:rsid w:val="00BE521E"/>
    <w:rsid w:val="00BE52CA"/>
    <w:rsid w:val="00BE7701"/>
    <w:rsid w:val="00BF454E"/>
    <w:rsid w:val="00BF46CC"/>
    <w:rsid w:val="00BF65EA"/>
    <w:rsid w:val="00BF6D24"/>
    <w:rsid w:val="00BF7E5D"/>
    <w:rsid w:val="00C03475"/>
    <w:rsid w:val="00C1071C"/>
    <w:rsid w:val="00C12A0B"/>
    <w:rsid w:val="00C13DC1"/>
    <w:rsid w:val="00C15972"/>
    <w:rsid w:val="00C21DB7"/>
    <w:rsid w:val="00C21F9F"/>
    <w:rsid w:val="00C236C2"/>
    <w:rsid w:val="00C27049"/>
    <w:rsid w:val="00C27208"/>
    <w:rsid w:val="00C31D97"/>
    <w:rsid w:val="00C31F4D"/>
    <w:rsid w:val="00C32AFD"/>
    <w:rsid w:val="00C3526B"/>
    <w:rsid w:val="00C35A10"/>
    <w:rsid w:val="00C37814"/>
    <w:rsid w:val="00C416BA"/>
    <w:rsid w:val="00C45755"/>
    <w:rsid w:val="00C51A4E"/>
    <w:rsid w:val="00C51B6C"/>
    <w:rsid w:val="00C54423"/>
    <w:rsid w:val="00C55471"/>
    <w:rsid w:val="00C566EB"/>
    <w:rsid w:val="00C578EA"/>
    <w:rsid w:val="00C60657"/>
    <w:rsid w:val="00C64FD7"/>
    <w:rsid w:val="00C67CD4"/>
    <w:rsid w:val="00C706C7"/>
    <w:rsid w:val="00C715F5"/>
    <w:rsid w:val="00C723CD"/>
    <w:rsid w:val="00C759C8"/>
    <w:rsid w:val="00C7664B"/>
    <w:rsid w:val="00C83991"/>
    <w:rsid w:val="00C863ED"/>
    <w:rsid w:val="00C86E72"/>
    <w:rsid w:val="00C90420"/>
    <w:rsid w:val="00C91038"/>
    <w:rsid w:val="00C9206F"/>
    <w:rsid w:val="00C927CA"/>
    <w:rsid w:val="00C92F75"/>
    <w:rsid w:val="00C93C45"/>
    <w:rsid w:val="00C93D1A"/>
    <w:rsid w:val="00C9544D"/>
    <w:rsid w:val="00CA12BB"/>
    <w:rsid w:val="00CA1C13"/>
    <w:rsid w:val="00CA229F"/>
    <w:rsid w:val="00CA4CB9"/>
    <w:rsid w:val="00CA5F89"/>
    <w:rsid w:val="00CA645A"/>
    <w:rsid w:val="00CB193D"/>
    <w:rsid w:val="00CB4C81"/>
    <w:rsid w:val="00CB6E01"/>
    <w:rsid w:val="00CB7E0F"/>
    <w:rsid w:val="00CC5068"/>
    <w:rsid w:val="00CC5E0A"/>
    <w:rsid w:val="00CD1BD2"/>
    <w:rsid w:val="00CD1F6F"/>
    <w:rsid w:val="00CD3133"/>
    <w:rsid w:val="00CD523A"/>
    <w:rsid w:val="00CD6BDD"/>
    <w:rsid w:val="00CD70EB"/>
    <w:rsid w:val="00CD72FC"/>
    <w:rsid w:val="00CE46BC"/>
    <w:rsid w:val="00CE5284"/>
    <w:rsid w:val="00CE7938"/>
    <w:rsid w:val="00CF0253"/>
    <w:rsid w:val="00CF47BB"/>
    <w:rsid w:val="00CF7973"/>
    <w:rsid w:val="00D0213E"/>
    <w:rsid w:val="00D02231"/>
    <w:rsid w:val="00D02B9E"/>
    <w:rsid w:val="00D0328C"/>
    <w:rsid w:val="00D04807"/>
    <w:rsid w:val="00D07373"/>
    <w:rsid w:val="00D07EA6"/>
    <w:rsid w:val="00D10186"/>
    <w:rsid w:val="00D11F19"/>
    <w:rsid w:val="00D13987"/>
    <w:rsid w:val="00D16B3E"/>
    <w:rsid w:val="00D24712"/>
    <w:rsid w:val="00D270F0"/>
    <w:rsid w:val="00D312F5"/>
    <w:rsid w:val="00D322E0"/>
    <w:rsid w:val="00D35C55"/>
    <w:rsid w:val="00D368C5"/>
    <w:rsid w:val="00D42D91"/>
    <w:rsid w:val="00D43066"/>
    <w:rsid w:val="00D43BBC"/>
    <w:rsid w:val="00D45999"/>
    <w:rsid w:val="00D46017"/>
    <w:rsid w:val="00D50494"/>
    <w:rsid w:val="00D5105A"/>
    <w:rsid w:val="00D55330"/>
    <w:rsid w:val="00D5782D"/>
    <w:rsid w:val="00D57B99"/>
    <w:rsid w:val="00D60D2C"/>
    <w:rsid w:val="00D6204C"/>
    <w:rsid w:val="00D63457"/>
    <w:rsid w:val="00D64CE7"/>
    <w:rsid w:val="00D656FC"/>
    <w:rsid w:val="00D70C7D"/>
    <w:rsid w:val="00D71500"/>
    <w:rsid w:val="00D72608"/>
    <w:rsid w:val="00D73892"/>
    <w:rsid w:val="00D73E98"/>
    <w:rsid w:val="00D741A5"/>
    <w:rsid w:val="00D75A70"/>
    <w:rsid w:val="00D7659B"/>
    <w:rsid w:val="00D76AB0"/>
    <w:rsid w:val="00D773DB"/>
    <w:rsid w:val="00D7792C"/>
    <w:rsid w:val="00D77E34"/>
    <w:rsid w:val="00D77F2E"/>
    <w:rsid w:val="00D80BF6"/>
    <w:rsid w:val="00D80D13"/>
    <w:rsid w:val="00D8222D"/>
    <w:rsid w:val="00D841A7"/>
    <w:rsid w:val="00D8586F"/>
    <w:rsid w:val="00D85E4E"/>
    <w:rsid w:val="00D901DB"/>
    <w:rsid w:val="00D90212"/>
    <w:rsid w:val="00D90A4B"/>
    <w:rsid w:val="00D91155"/>
    <w:rsid w:val="00D92991"/>
    <w:rsid w:val="00D95692"/>
    <w:rsid w:val="00DA2FA1"/>
    <w:rsid w:val="00DA6C6D"/>
    <w:rsid w:val="00DA76C7"/>
    <w:rsid w:val="00DB077C"/>
    <w:rsid w:val="00DB163D"/>
    <w:rsid w:val="00DB1DBB"/>
    <w:rsid w:val="00DB53F5"/>
    <w:rsid w:val="00DB5444"/>
    <w:rsid w:val="00DB5A24"/>
    <w:rsid w:val="00DB7A5C"/>
    <w:rsid w:val="00DC0C6A"/>
    <w:rsid w:val="00DC1983"/>
    <w:rsid w:val="00DC23A8"/>
    <w:rsid w:val="00DC3052"/>
    <w:rsid w:val="00DC471E"/>
    <w:rsid w:val="00DC6B7A"/>
    <w:rsid w:val="00DC7609"/>
    <w:rsid w:val="00DD1394"/>
    <w:rsid w:val="00DD2BCF"/>
    <w:rsid w:val="00DD4BF0"/>
    <w:rsid w:val="00DE090D"/>
    <w:rsid w:val="00DE2AF1"/>
    <w:rsid w:val="00DE3879"/>
    <w:rsid w:val="00DE5CFE"/>
    <w:rsid w:val="00DE79AB"/>
    <w:rsid w:val="00DE7D34"/>
    <w:rsid w:val="00DF04AF"/>
    <w:rsid w:val="00DF3E0E"/>
    <w:rsid w:val="00DF514C"/>
    <w:rsid w:val="00DF5C70"/>
    <w:rsid w:val="00DF6001"/>
    <w:rsid w:val="00E01733"/>
    <w:rsid w:val="00E01BA0"/>
    <w:rsid w:val="00E03451"/>
    <w:rsid w:val="00E04C11"/>
    <w:rsid w:val="00E053A3"/>
    <w:rsid w:val="00E074D2"/>
    <w:rsid w:val="00E11EF0"/>
    <w:rsid w:val="00E13275"/>
    <w:rsid w:val="00E144AD"/>
    <w:rsid w:val="00E159A6"/>
    <w:rsid w:val="00E17076"/>
    <w:rsid w:val="00E231A9"/>
    <w:rsid w:val="00E2381F"/>
    <w:rsid w:val="00E23A0A"/>
    <w:rsid w:val="00E23BDC"/>
    <w:rsid w:val="00E2478C"/>
    <w:rsid w:val="00E25DB8"/>
    <w:rsid w:val="00E319BD"/>
    <w:rsid w:val="00E3479D"/>
    <w:rsid w:val="00E36592"/>
    <w:rsid w:val="00E40133"/>
    <w:rsid w:val="00E41CBA"/>
    <w:rsid w:val="00E444D0"/>
    <w:rsid w:val="00E44AB9"/>
    <w:rsid w:val="00E4500E"/>
    <w:rsid w:val="00E47DD3"/>
    <w:rsid w:val="00E545D5"/>
    <w:rsid w:val="00E5612D"/>
    <w:rsid w:val="00E62F0C"/>
    <w:rsid w:val="00E66165"/>
    <w:rsid w:val="00E67523"/>
    <w:rsid w:val="00E725EC"/>
    <w:rsid w:val="00E72D5A"/>
    <w:rsid w:val="00E75E12"/>
    <w:rsid w:val="00E77064"/>
    <w:rsid w:val="00E806D8"/>
    <w:rsid w:val="00E85966"/>
    <w:rsid w:val="00E86546"/>
    <w:rsid w:val="00E86B89"/>
    <w:rsid w:val="00E91091"/>
    <w:rsid w:val="00E91D58"/>
    <w:rsid w:val="00EA0811"/>
    <w:rsid w:val="00EA17A3"/>
    <w:rsid w:val="00EA1FE7"/>
    <w:rsid w:val="00EA2EA8"/>
    <w:rsid w:val="00EA3F2F"/>
    <w:rsid w:val="00EA7BEC"/>
    <w:rsid w:val="00EB030D"/>
    <w:rsid w:val="00EB144D"/>
    <w:rsid w:val="00EB1B78"/>
    <w:rsid w:val="00EB20DE"/>
    <w:rsid w:val="00EB52F8"/>
    <w:rsid w:val="00EC036A"/>
    <w:rsid w:val="00EC0A35"/>
    <w:rsid w:val="00EC2E93"/>
    <w:rsid w:val="00EC6093"/>
    <w:rsid w:val="00EC644C"/>
    <w:rsid w:val="00EC6AFC"/>
    <w:rsid w:val="00EC7076"/>
    <w:rsid w:val="00EC7D5D"/>
    <w:rsid w:val="00ED3D05"/>
    <w:rsid w:val="00ED4CF3"/>
    <w:rsid w:val="00ED78F7"/>
    <w:rsid w:val="00EE0316"/>
    <w:rsid w:val="00EE3405"/>
    <w:rsid w:val="00EE355E"/>
    <w:rsid w:val="00EE6152"/>
    <w:rsid w:val="00EF1E27"/>
    <w:rsid w:val="00EF249F"/>
    <w:rsid w:val="00EF3D1A"/>
    <w:rsid w:val="00EF3F8B"/>
    <w:rsid w:val="00EF4302"/>
    <w:rsid w:val="00EF66F8"/>
    <w:rsid w:val="00EF68CC"/>
    <w:rsid w:val="00EF7975"/>
    <w:rsid w:val="00F00B92"/>
    <w:rsid w:val="00F00FBC"/>
    <w:rsid w:val="00F04C18"/>
    <w:rsid w:val="00F10D5E"/>
    <w:rsid w:val="00F10DC5"/>
    <w:rsid w:val="00F11219"/>
    <w:rsid w:val="00F119BB"/>
    <w:rsid w:val="00F12910"/>
    <w:rsid w:val="00F1520A"/>
    <w:rsid w:val="00F16992"/>
    <w:rsid w:val="00F21B4A"/>
    <w:rsid w:val="00F22C14"/>
    <w:rsid w:val="00F30701"/>
    <w:rsid w:val="00F31A04"/>
    <w:rsid w:val="00F32535"/>
    <w:rsid w:val="00F3659A"/>
    <w:rsid w:val="00F40F5B"/>
    <w:rsid w:val="00F535E4"/>
    <w:rsid w:val="00F5380A"/>
    <w:rsid w:val="00F542AE"/>
    <w:rsid w:val="00F55393"/>
    <w:rsid w:val="00F60F75"/>
    <w:rsid w:val="00F61D95"/>
    <w:rsid w:val="00F622E9"/>
    <w:rsid w:val="00F66A6D"/>
    <w:rsid w:val="00F67BAC"/>
    <w:rsid w:val="00F816CD"/>
    <w:rsid w:val="00F816D9"/>
    <w:rsid w:val="00F83D3B"/>
    <w:rsid w:val="00F84212"/>
    <w:rsid w:val="00F845DA"/>
    <w:rsid w:val="00F87826"/>
    <w:rsid w:val="00F90600"/>
    <w:rsid w:val="00F91301"/>
    <w:rsid w:val="00F91B87"/>
    <w:rsid w:val="00F93BA1"/>
    <w:rsid w:val="00F94313"/>
    <w:rsid w:val="00F94711"/>
    <w:rsid w:val="00F94B99"/>
    <w:rsid w:val="00F956E5"/>
    <w:rsid w:val="00FA44AF"/>
    <w:rsid w:val="00FA51AC"/>
    <w:rsid w:val="00FA5D41"/>
    <w:rsid w:val="00FA688A"/>
    <w:rsid w:val="00FB1317"/>
    <w:rsid w:val="00FB2521"/>
    <w:rsid w:val="00FB2E3E"/>
    <w:rsid w:val="00FB4158"/>
    <w:rsid w:val="00FB5D36"/>
    <w:rsid w:val="00FB5D9F"/>
    <w:rsid w:val="00FC265D"/>
    <w:rsid w:val="00FC4287"/>
    <w:rsid w:val="00FC4CB3"/>
    <w:rsid w:val="00FC60E4"/>
    <w:rsid w:val="00FD0D73"/>
    <w:rsid w:val="00FD2564"/>
    <w:rsid w:val="00FD72D9"/>
    <w:rsid w:val="00FD7616"/>
    <w:rsid w:val="00FE06B3"/>
    <w:rsid w:val="00FE16B8"/>
    <w:rsid w:val="00FE1908"/>
    <w:rsid w:val="00FE20C1"/>
    <w:rsid w:val="00FE4ACE"/>
    <w:rsid w:val="00FF1A77"/>
    <w:rsid w:val="00FF6E00"/>
    <w:rsid w:val="00FF6FAE"/>
    <w:rsid w:val="06487C96"/>
    <w:rsid w:val="08A2037A"/>
    <w:rsid w:val="08DC011F"/>
    <w:rsid w:val="11F91DD8"/>
    <w:rsid w:val="17776443"/>
    <w:rsid w:val="18B2119C"/>
    <w:rsid w:val="1C2A0B8E"/>
    <w:rsid w:val="1DAC4F64"/>
    <w:rsid w:val="1E4954EC"/>
    <w:rsid w:val="207A16F1"/>
    <w:rsid w:val="28285372"/>
    <w:rsid w:val="2C556103"/>
    <w:rsid w:val="2E652E37"/>
    <w:rsid w:val="42EA1C30"/>
    <w:rsid w:val="451E56DB"/>
    <w:rsid w:val="46163336"/>
    <w:rsid w:val="51C817EA"/>
    <w:rsid w:val="58317AFE"/>
    <w:rsid w:val="5FEB692B"/>
    <w:rsid w:val="69B73369"/>
    <w:rsid w:val="6A327D1C"/>
    <w:rsid w:val="6D170C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nhideWhenUsed="0" w:qFormat="1"/>
    <w:lsdException w:name="toc 2" w:semiHidden="0" w:uiPriority="39" w:unhideWhenUsed="0" w:qFormat="1"/>
    <w:lsdException w:name="toc 3" w:semiHidden="0" w:uiPriority="39" w:unhideWhenUsed="0" w:qFormat="1"/>
    <w:lsdException w:name="annotation text" w:unhideWhenUsed="0" w:qFormat="1"/>
    <w:lsdException w:name="header" w:semiHidden="0" w:unhideWhenUsed="0" w:qFormat="1"/>
    <w:lsdException w:name="footer" w:semiHidden="0" w:unhideWhenUsed="0" w:qFormat="1"/>
    <w:lsdException w:name="caption" w:qFormat="1"/>
    <w:lsdException w:name="annotation reference" w:unhideWhenUsed="0"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Hyperlink" w:semiHidden="0" w:uiPriority="99" w:unhideWhenUsed="0" w:qFormat="1"/>
    <w:lsdException w:name="Strong" w:semiHidden="0" w:unhideWhenUsed="0" w:qFormat="1"/>
    <w:lsdException w:name="Emphasis" w:semiHidden="0" w:unhideWhenUsed="0" w:qFormat="1"/>
    <w:lsdException w:name="Document Map" w:unhideWhenUsed="0" w:qFormat="1"/>
    <w:lsdException w:name="Plain Text"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annotation subject" w:unhideWhenUsed="0"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87C"/>
    <w:pPr>
      <w:widowControl w:val="0"/>
      <w:jc w:val="both"/>
    </w:pPr>
    <w:rPr>
      <w:kern w:val="2"/>
      <w:sz w:val="21"/>
      <w:szCs w:val="24"/>
    </w:rPr>
  </w:style>
  <w:style w:type="paragraph" w:styleId="1">
    <w:name w:val="heading 1"/>
    <w:basedOn w:val="a"/>
    <w:next w:val="a"/>
    <w:qFormat/>
    <w:rsid w:val="0088187C"/>
    <w:pPr>
      <w:keepNext/>
      <w:keepLines/>
      <w:spacing w:before="340" w:after="330" w:line="578" w:lineRule="auto"/>
      <w:outlineLvl w:val="0"/>
    </w:pPr>
    <w:rPr>
      <w:b/>
      <w:bCs/>
      <w:kern w:val="44"/>
      <w:sz w:val="44"/>
      <w:szCs w:val="44"/>
    </w:rPr>
  </w:style>
  <w:style w:type="paragraph" w:styleId="2">
    <w:name w:val="heading 2"/>
    <w:basedOn w:val="a"/>
    <w:next w:val="a"/>
    <w:qFormat/>
    <w:rsid w:val="008818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8818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rsid w:val="0088187C"/>
    <w:pPr>
      <w:shd w:val="clear" w:color="auto" w:fill="000080"/>
    </w:pPr>
  </w:style>
  <w:style w:type="paragraph" w:styleId="a4">
    <w:name w:val="annotation text"/>
    <w:basedOn w:val="a"/>
    <w:semiHidden/>
    <w:qFormat/>
    <w:rsid w:val="0088187C"/>
    <w:pPr>
      <w:jc w:val="left"/>
    </w:pPr>
  </w:style>
  <w:style w:type="paragraph" w:styleId="30">
    <w:name w:val="toc 3"/>
    <w:basedOn w:val="a"/>
    <w:next w:val="a"/>
    <w:uiPriority w:val="39"/>
    <w:qFormat/>
    <w:rsid w:val="0088187C"/>
    <w:pPr>
      <w:ind w:leftChars="400" w:left="840"/>
    </w:pPr>
  </w:style>
  <w:style w:type="paragraph" w:styleId="a5">
    <w:name w:val="Plain Text"/>
    <w:basedOn w:val="a"/>
    <w:link w:val="Char"/>
    <w:qFormat/>
    <w:rsid w:val="0088187C"/>
    <w:pPr>
      <w:spacing w:line="300" w:lineRule="auto"/>
    </w:pPr>
    <w:rPr>
      <w:rFonts w:ascii="宋体" w:hAnsi="Courier New" w:cs="Courier New"/>
      <w:szCs w:val="21"/>
    </w:rPr>
  </w:style>
  <w:style w:type="paragraph" w:styleId="a6">
    <w:name w:val="Date"/>
    <w:basedOn w:val="a"/>
    <w:next w:val="a"/>
    <w:qFormat/>
    <w:rsid w:val="0088187C"/>
    <w:pPr>
      <w:ind w:leftChars="2500" w:left="100"/>
    </w:pPr>
  </w:style>
  <w:style w:type="paragraph" w:styleId="a7">
    <w:name w:val="Balloon Text"/>
    <w:basedOn w:val="a"/>
    <w:semiHidden/>
    <w:qFormat/>
    <w:rsid w:val="0088187C"/>
    <w:rPr>
      <w:sz w:val="18"/>
      <w:szCs w:val="18"/>
    </w:rPr>
  </w:style>
  <w:style w:type="paragraph" w:styleId="a8">
    <w:name w:val="footer"/>
    <w:basedOn w:val="a"/>
    <w:qFormat/>
    <w:rsid w:val="0088187C"/>
    <w:pPr>
      <w:tabs>
        <w:tab w:val="center" w:pos="4153"/>
        <w:tab w:val="right" w:pos="8306"/>
      </w:tabs>
      <w:snapToGrid w:val="0"/>
      <w:jc w:val="left"/>
    </w:pPr>
    <w:rPr>
      <w:sz w:val="18"/>
      <w:szCs w:val="18"/>
    </w:rPr>
  </w:style>
  <w:style w:type="paragraph" w:styleId="a9">
    <w:name w:val="header"/>
    <w:basedOn w:val="a"/>
    <w:qFormat/>
    <w:rsid w:val="0088187C"/>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88187C"/>
    <w:pPr>
      <w:tabs>
        <w:tab w:val="right" w:leader="dot" w:pos="8296"/>
      </w:tabs>
    </w:pPr>
    <w:rPr>
      <w:b/>
      <w:sz w:val="28"/>
      <w:szCs w:val="28"/>
    </w:rPr>
  </w:style>
  <w:style w:type="paragraph" w:styleId="20">
    <w:name w:val="toc 2"/>
    <w:basedOn w:val="a"/>
    <w:next w:val="a"/>
    <w:uiPriority w:val="39"/>
    <w:qFormat/>
    <w:rsid w:val="0088187C"/>
    <w:pPr>
      <w:tabs>
        <w:tab w:val="left" w:pos="910"/>
        <w:tab w:val="right" w:leader="dot" w:pos="8296"/>
      </w:tabs>
      <w:spacing w:line="360" w:lineRule="auto"/>
      <w:ind w:leftChars="200" w:left="420"/>
    </w:pPr>
    <w:rPr>
      <w:rFonts w:ascii="仿宋_GB2312" w:eastAsia="仿宋_GB2312" w:hAnsi="宋体"/>
      <w:sz w:val="24"/>
    </w:rPr>
  </w:style>
  <w:style w:type="paragraph" w:styleId="aa">
    <w:name w:val="Normal (Web)"/>
    <w:basedOn w:val="a"/>
    <w:qFormat/>
    <w:rsid w:val="0088187C"/>
    <w:pPr>
      <w:widowControl/>
      <w:spacing w:before="100" w:beforeAutospacing="1" w:after="100" w:afterAutospacing="1"/>
      <w:jc w:val="left"/>
    </w:pPr>
    <w:rPr>
      <w:rFonts w:ascii="宋体" w:hAnsi="宋体" w:cs="宋体"/>
      <w:kern w:val="0"/>
      <w:sz w:val="24"/>
    </w:rPr>
  </w:style>
  <w:style w:type="paragraph" w:styleId="ab">
    <w:name w:val="Title"/>
    <w:basedOn w:val="a"/>
    <w:link w:val="Char0"/>
    <w:qFormat/>
    <w:rsid w:val="0088187C"/>
    <w:pPr>
      <w:spacing w:before="240" w:after="60"/>
      <w:jc w:val="center"/>
      <w:outlineLvl w:val="0"/>
    </w:pPr>
    <w:rPr>
      <w:rFonts w:ascii="Arial" w:hAnsi="Arial" w:cs="Arial"/>
      <w:b/>
      <w:bCs/>
      <w:sz w:val="32"/>
      <w:szCs w:val="32"/>
    </w:rPr>
  </w:style>
  <w:style w:type="paragraph" w:styleId="ac">
    <w:name w:val="annotation subject"/>
    <w:basedOn w:val="a4"/>
    <w:next w:val="a4"/>
    <w:semiHidden/>
    <w:qFormat/>
    <w:rsid w:val="0088187C"/>
    <w:rPr>
      <w:b/>
      <w:bCs/>
    </w:rPr>
  </w:style>
  <w:style w:type="table" w:styleId="ad">
    <w:name w:val="Table Grid"/>
    <w:basedOn w:val="a1"/>
    <w:qFormat/>
    <w:rsid w:val="0088187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qFormat/>
    <w:rsid w:val="0088187C"/>
  </w:style>
  <w:style w:type="character" w:styleId="af">
    <w:name w:val="Hyperlink"/>
    <w:uiPriority w:val="99"/>
    <w:qFormat/>
    <w:rsid w:val="0088187C"/>
    <w:rPr>
      <w:color w:val="0000FF"/>
      <w:u w:val="single"/>
    </w:rPr>
  </w:style>
  <w:style w:type="character" w:styleId="af0">
    <w:name w:val="annotation reference"/>
    <w:semiHidden/>
    <w:qFormat/>
    <w:rsid w:val="0088187C"/>
    <w:rPr>
      <w:sz w:val="21"/>
      <w:szCs w:val="21"/>
    </w:rPr>
  </w:style>
  <w:style w:type="character" w:customStyle="1" w:styleId="Char">
    <w:name w:val="纯文本 Char"/>
    <w:link w:val="a5"/>
    <w:qFormat/>
    <w:rsid w:val="0088187C"/>
    <w:rPr>
      <w:rFonts w:ascii="宋体" w:eastAsia="宋体" w:hAnsi="Courier New" w:cs="Courier New"/>
      <w:kern w:val="2"/>
      <w:sz w:val="21"/>
      <w:szCs w:val="21"/>
      <w:lang w:val="en-US" w:eastAsia="zh-CN" w:bidi="ar-SA"/>
    </w:rPr>
  </w:style>
  <w:style w:type="character" w:customStyle="1" w:styleId="Char1">
    <w:name w:val="段 Char"/>
    <w:link w:val="af1"/>
    <w:qFormat/>
    <w:rsid w:val="0088187C"/>
    <w:rPr>
      <w:rFonts w:ascii="宋体"/>
      <w:sz w:val="21"/>
      <w:lang w:val="en-US" w:eastAsia="zh-CN" w:bidi="ar-SA"/>
    </w:rPr>
  </w:style>
  <w:style w:type="paragraph" w:customStyle="1" w:styleId="af1">
    <w:name w:val="段"/>
    <w:link w:val="Char1"/>
    <w:qFormat/>
    <w:rsid w:val="0088187C"/>
    <w:pPr>
      <w:ind w:firstLineChars="200" w:firstLine="200"/>
      <w:jc w:val="both"/>
    </w:pPr>
    <w:rPr>
      <w:rFonts w:ascii="宋体"/>
      <w:sz w:val="21"/>
    </w:rPr>
  </w:style>
  <w:style w:type="paragraph" w:customStyle="1" w:styleId="CharChar">
    <w:name w:val="Char Char"/>
    <w:basedOn w:val="a"/>
    <w:qFormat/>
    <w:rsid w:val="0088187C"/>
    <w:rPr>
      <w:rFonts w:ascii="宋体" w:hAnsi="宋体"/>
      <w:b/>
      <w:color w:val="000000"/>
      <w:sz w:val="24"/>
    </w:rPr>
  </w:style>
  <w:style w:type="paragraph" w:customStyle="1" w:styleId="ParaCharCharCharChar">
    <w:name w:val="默认段落字体 Para Char Char Char Char"/>
    <w:basedOn w:val="a"/>
    <w:qFormat/>
    <w:rsid w:val="0088187C"/>
  </w:style>
  <w:style w:type="paragraph" w:styleId="af2">
    <w:name w:val="List Paragraph"/>
    <w:basedOn w:val="a"/>
    <w:uiPriority w:val="34"/>
    <w:qFormat/>
    <w:rsid w:val="0088187C"/>
    <w:pPr>
      <w:ind w:firstLineChars="200" w:firstLine="420"/>
    </w:pPr>
    <w:rPr>
      <w:rFonts w:ascii="Calibri" w:hAnsi="Calibri"/>
      <w:szCs w:val="22"/>
    </w:rPr>
  </w:style>
  <w:style w:type="paragraph" w:customStyle="1" w:styleId="ParaChar">
    <w:name w:val="默认段落字体 Para Char"/>
    <w:basedOn w:val="a"/>
    <w:qFormat/>
    <w:rsid w:val="0088187C"/>
    <w:rPr>
      <w:sz w:val="24"/>
      <w:szCs w:val="20"/>
    </w:rPr>
  </w:style>
  <w:style w:type="paragraph" w:customStyle="1" w:styleId="CharChar1">
    <w:name w:val="Char Char1"/>
    <w:basedOn w:val="a"/>
    <w:qFormat/>
    <w:rsid w:val="0088187C"/>
  </w:style>
  <w:style w:type="character" w:customStyle="1" w:styleId="Char0">
    <w:name w:val="标题 Char"/>
    <w:basedOn w:val="a0"/>
    <w:link w:val="ab"/>
    <w:qFormat/>
    <w:rsid w:val="0088187C"/>
    <w:rPr>
      <w:rFonts w:ascii="Arial" w:hAnsi="Arial" w:cs="Arial"/>
      <w:b/>
      <w:bCs/>
      <w:kern w:val="2"/>
      <w:sz w:val="32"/>
      <w:szCs w:val="32"/>
    </w:rPr>
  </w:style>
  <w:style w:type="paragraph" w:customStyle="1" w:styleId="11">
    <w:name w:val="样式1"/>
    <w:basedOn w:val="a"/>
    <w:qFormat/>
    <w:rsid w:val="0088187C"/>
    <w:pPr>
      <w:spacing w:line="360" w:lineRule="auto"/>
    </w:pPr>
    <w:rPr>
      <w:rFonts w:ascii="Calibri" w:eastAsia="黑体" w:hAnsi="Calibri"/>
      <w:sz w:val="24"/>
      <w:szCs w:val="22"/>
    </w:rPr>
  </w:style>
  <w:style w:type="paragraph" w:customStyle="1" w:styleId="Default">
    <w:name w:val="Default"/>
    <w:qFormat/>
    <w:rsid w:val="0088187C"/>
    <w:pPr>
      <w:widowControl w:val="0"/>
      <w:autoSpaceDE w:val="0"/>
      <w:autoSpaceDN w:val="0"/>
      <w:adjustRightInd w:val="0"/>
    </w:pPr>
    <w:rPr>
      <w:rFonts w:ascii="宋体" w:hAnsi="Calibri" w:cs="宋体"/>
      <w:color w:val="000000"/>
      <w:sz w:val="24"/>
      <w:szCs w:val="24"/>
    </w:rPr>
  </w:style>
  <w:style w:type="paragraph" w:customStyle="1" w:styleId="af3">
    <w:name w:val="表文"/>
    <w:basedOn w:val="a"/>
    <w:uiPriority w:val="99"/>
    <w:qFormat/>
    <w:rsid w:val="0088187C"/>
    <w:pPr>
      <w:topLinePunct/>
      <w:spacing w:before="40" w:after="40"/>
    </w:pPr>
    <w:rPr>
      <w:rFonts w:ascii="仿宋_GB2312" w:eastAsia="仿宋_GB2312" w:hAnsi="仿宋_GB2312" w:cs="仿宋_GB231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8"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984</Words>
  <Characters>5612</Characters>
  <Application>Microsoft Office Word</Application>
  <DocSecurity>0</DocSecurity>
  <Lines>46</Lines>
  <Paragraphs>13</Paragraphs>
  <ScaleCrop>false</ScaleCrop>
  <Company>WWW.YlmF.CoM</Company>
  <LinksUpToDate>false</LinksUpToDate>
  <CharactersWithSpaces>6583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交流充电桩</dc:title>
  <dc:creator>雨林木风</dc:creator>
  <cp:lastModifiedBy>Lenovo</cp:lastModifiedBy>
  <cp:revision>11</cp:revision>
  <cp:lastPrinted>2022-08-27T07:48:00Z</cp:lastPrinted>
  <dcterms:created xsi:type="dcterms:W3CDTF">2021-10-29T07:42:00Z</dcterms:created>
  <dcterms:modified xsi:type="dcterms:W3CDTF">2023-10-19T03:41:00Z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2220EF7A4CBD4A208AFCB45704B38681</vt:lpwstr>
  </property>
</Properties>
</file>